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杭州市</w:t>
      </w:r>
      <w:r>
        <w:rPr>
          <w:rFonts w:hint="eastAsia" w:ascii="方正小标宋_GBK" w:eastAsia="方正小标宋_GBK"/>
          <w:sz w:val="44"/>
          <w:szCs w:val="44"/>
        </w:rPr>
        <w:t>余杭区司法局（区行政复议局）</w:t>
      </w:r>
    </w:p>
    <w:p>
      <w:pPr>
        <w:widowControl/>
        <w:shd w:val="clear" w:color="auto" w:fill="FFFFFF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年度政府信息公开工作年度报告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</w:p>
    <w:p>
      <w:pPr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杭州市余杭区司法局（区行政复议局）根据《中华人民共和国政府信息公开条例》《浙江省政府信息公开暂行办法》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</w:rPr>
        <w:t>等规定编制本报告。</w:t>
      </w:r>
      <w:r>
        <w:rPr>
          <w:rFonts w:hint="eastAsia" w:ascii="仿宋_GB2312" w:eastAsia="仿宋_GB2312"/>
          <w:sz w:val="32"/>
          <w:szCs w:val="32"/>
          <w:highlight w:val="none"/>
        </w:rPr>
        <w:t>报告包括总体情况、主动公开政府信息情况、收到和处理政府信息公开申请情况、政府信息公开行政复议、行政诉讼情况、存在的主要问题及改进情况、其他需要报告的事项等六项内容。本报告所列数据的统计期限自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年1月1日起至202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年12月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31日止。</w:t>
      </w:r>
    </w:p>
    <w:p>
      <w:pPr>
        <w:numPr>
          <w:ilvl w:val="0"/>
          <w:numId w:val="1"/>
        </w:numPr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总体情况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年，杭州市余杭区司法局（区行政复议局）依据《中华人民共和国政府信息公开条例》《浙江省政府信息公开暂行办法》等规定，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健全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信息公开组织保障体系，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完善信息公开内容栏目，依法规范政府信息公开工作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，较好地完成年度政府信息公开工作。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b/>
          <w:bCs/>
          <w:color w:val="0000FF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根据工作人员职能调整情况，及时修改完善信息公开指南、政务服务办事指南和政府信息申请渠道，确保信息准确，渠道畅通，全年更新信息30余次。通过余杭区政府门户网站，主动更新部门政府信息，规范发布政策文件，2023年共发布政策文件及解读6件，其他政府信息8条。完成政务微信公众号迁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，充分发挥新媒体渠道作用，加强政府热点信息推送，结合职能优势开展精准普法，每月推送普法宣传要点信息，通过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法韵余杭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”微信公众号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等推送热点政府信息。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pStyle w:val="4"/>
        <w:widowControl/>
        <w:wordWrap/>
        <w:spacing w:before="0" w:beforeAutospacing="0" w:after="0" w:afterAutospacing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主动关切申请人申请政府信息事由，正确引导申请人通过合法有效途径获取政府信息。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本年度收到要求公开政府信息的申请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件，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均予以公开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申请人主动撤件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wordWrap/>
        <w:spacing w:line="560" w:lineRule="exact"/>
        <w:ind w:left="0" w:leftChars="0" w:right="0" w:firstLine="48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政府信息公开平台建设</w:t>
      </w:r>
    </w:p>
    <w:p>
      <w:pPr>
        <w:pStyle w:val="4"/>
        <w:widowControl/>
        <w:wordWrap/>
        <w:spacing w:before="0" w:beforeAutospacing="0" w:after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应用浙江省行政执法监管 ( 互联网+监管 ) 平台，运用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“双随机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抽查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通过掌上执法形式，公开行政执法检查结果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57件。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优化升级行政复议数字平台，打造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互联网消费投诉举报AI智审系统，充分发挥行政复议化解行政争议主渠道作用。完善公共法律服务领域基层标准化建设，及时更新法律查询咨询服务信息、区公共法律服务平台。</w:t>
      </w:r>
    </w:p>
    <w:p>
      <w:pPr>
        <w:pStyle w:val="4"/>
        <w:widowControl/>
        <w:wordWrap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（四）政府信息管理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严格落实信息发布三审三校机制，发文明确局政务信息审核发布制度，明确工作责任人，落实信息发布全面执行“三审三校”，并签字确认。组织召开全局信息工作会议，开展政务信息发布培训，提升全体工作人员信息发布规范意识。对依申请公开信息，增加合法性审核流程，确保信息质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坚持统一领导、统一布局、同步推进，将信息公开工作列入单位年度重点工作。加强信息公开的保密审核，确保公开的信息符合保密规定。积极落实社会评议制度，广泛听取群众意见。2023年度未发生政务公开工作责任追究结果情况，无因政府信息公开引发的行政复议、行政诉讼。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ascii="楷体_GB2312" w:hAnsi="宋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color w:val="auto"/>
          <w:sz w:val="32"/>
          <w:szCs w:val="32"/>
          <w:highlight w:val="none"/>
        </w:rPr>
        <w:t>（一）存在的主要问题</w:t>
      </w:r>
    </w:p>
    <w:p>
      <w:pPr>
        <w:wordWrap/>
        <w:spacing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一是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平台政务公开信息发布质效有待提升。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主动公开内容栏目有待进一步丰富。回应关切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热点信息宣传不够到位，普法专栏信息更新较少，热点信息宣传载体相对单一。法律解读及普法宣传特色专栏作用发挥不够明显、受众较少。</w:t>
      </w:r>
    </w:p>
    <w:p>
      <w:pPr>
        <w:wordWrap/>
        <w:spacing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二是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lang w:eastAsia="zh-CN"/>
        </w:rPr>
        <w:t>公共法律服务领域信息更新不够及时。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因律所等法律服务机构变动、律所等人员流动频繁，法律服务人员信息更新存在一定滞后性。</w:t>
      </w: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ascii="楷体_GB2312" w:hAnsi="宋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color w:val="auto"/>
          <w:sz w:val="32"/>
          <w:szCs w:val="32"/>
          <w:highlight w:val="none"/>
        </w:rPr>
        <w:t>（二）改进措施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全面规范信息公开审核机制。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严格执行政务信息和网站信息发布“三审三校”制，进一步加强信息校验、信息审核、信息发布流程，加强网络安全风险防控，加强数据安全意识，做到防患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未然，防微杜渐。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有效提升信息公开内容质量。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加强行政复议平台建设，推动行政争议实质性化解，并积极尝试在化解行政争议同时以案释法提升信息公开答复质量。进一步丰富公共法律服务专栏信息更新频率，普法宣传月更新，律师信息季更新，法律服务站年更新，提升信息质量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积极构建部门联动协作体系。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加强与省厅市局业务处室、区府办政务公开科对接，联动各职能科室业务整合，形成上下联动、部门配合的信息公开工作体系，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整体推进依申请信息公开热点信息回应，提高政务信息工作重点方向把控力、创新力。</w:t>
      </w:r>
    </w:p>
    <w:p>
      <w:pPr>
        <w:widowControl/>
        <w:shd w:val="clear" w:color="auto" w:fill="FFFFFF"/>
        <w:wordWrap/>
        <w:spacing w:line="560" w:lineRule="exact"/>
        <w:ind w:left="0" w:leftChars="0" w:right="0" w:firstLine="48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 w:fill="FFFFFF"/>
        <w:wordWrap/>
        <w:spacing w:before="0" w:beforeAutospacing="0" w:after="0" w:afterAutospacing="0" w:line="560" w:lineRule="exact"/>
        <w:ind w:left="0" w:leftChars="0" w:right="0" w:firstLine="420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本单位202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年未收取信息处理费。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86E06"/>
    <w:multiLevelType w:val="singleLevel"/>
    <w:tmpl w:val="A6586E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2U3Y2NkZjdiMjlkZDY1ZDNmM2Q4MzYzZjdhMmY4ZTkifQ=="/>
  </w:docVars>
  <w:rsids>
    <w:rsidRoot w:val="00000000"/>
    <w:rsid w:val="18347B85"/>
    <w:rsid w:val="18451499"/>
    <w:rsid w:val="18464840"/>
    <w:rsid w:val="1F9B4A39"/>
    <w:rsid w:val="258C105B"/>
    <w:rsid w:val="26AB5818"/>
    <w:rsid w:val="27673DE4"/>
    <w:rsid w:val="277F0B5A"/>
    <w:rsid w:val="3AD0644B"/>
    <w:rsid w:val="3D965098"/>
    <w:rsid w:val="3EDF4135"/>
    <w:rsid w:val="48E56766"/>
    <w:rsid w:val="497C50C6"/>
    <w:rsid w:val="4E285111"/>
    <w:rsid w:val="50261E3F"/>
    <w:rsid w:val="521B3900"/>
    <w:rsid w:val="53ED0AF1"/>
    <w:rsid w:val="54504419"/>
    <w:rsid w:val="58D45A7B"/>
    <w:rsid w:val="5AA263F7"/>
    <w:rsid w:val="5C6802E1"/>
    <w:rsid w:val="5DB23A65"/>
    <w:rsid w:val="5DE55498"/>
    <w:rsid w:val="63F0428F"/>
    <w:rsid w:val="67FC31E0"/>
    <w:rsid w:val="69455B59"/>
    <w:rsid w:val="74306764"/>
    <w:rsid w:val="75051CD3"/>
    <w:rsid w:val="784173A2"/>
    <w:rsid w:val="7CB76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1128</Words>
  <Characters>1222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2023-01-09T06:05:00Z</dcterms:created>
  <dc:creator>lenovo</dc:creator>
  <cp:lastModifiedBy>尹凯</cp:lastModifiedBy>
  <cp:lastPrinted>2024-01-09T02:50:00Z</cp:lastPrinted>
  <dcterms:modified xsi:type="dcterms:W3CDTF">2024-04-25T02:54:09Z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06EB3DCBAB1D49878785ADFE14E26523_13</vt:lpwstr>
  </property>
</Properties>
</file>