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2023年度余杭区教育系统课桌椅规模化采购项目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编号:HZYHZFCG-2023-021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杭州市余杭区教育资产营运中心</w:t>
      </w:r>
    </w:p>
    <w:p>
      <w:pPr>
        <w:spacing w:line="360" w:lineRule="auto"/>
        <w:jc w:val="center"/>
        <w:rPr>
          <w:rFonts w:ascii="宋体" w:hAnsi="宋体" w:cs="宋体"/>
          <w:bCs/>
          <w:sz w:val="32"/>
          <w:szCs w:val="32"/>
        </w:rPr>
      </w:pPr>
      <w:r>
        <w:rPr>
          <w:rFonts w:hint="eastAsia" w:ascii="宋体" w:hAnsi="宋体" w:cs="宋体"/>
          <w:bCs/>
          <w:sz w:val="32"/>
          <w:szCs w:val="32"/>
        </w:rPr>
        <w:t>杭州市公共资源交易中心余杭分中心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二〇二三年五月二十二日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sz w:val="24"/>
          <w:u w:val="single"/>
        </w:rPr>
      </w:pPr>
      <w:r>
        <w:rPr>
          <w:rFonts w:hint="eastAsia" w:ascii="宋体" w:hAnsi="宋体" w:cs="仿宋_GB2312"/>
          <w:sz w:val="24"/>
          <w:u w:val="single"/>
        </w:rPr>
        <w:t>2023年度余杭区教育系统课桌椅规模化采购项目</w:t>
      </w:r>
      <w:r>
        <w:rPr>
          <w:rFonts w:hint="eastAsia" w:ascii="宋体" w:hAnsi="宋体"/>
          <w:sz w:val="24"/>
        </w:rPr>
        <w:t>招标项目的潜在投标人应在政采云平台（</w:t>
      </w:r>
      <w:r>
        <w:fldChar w:fldCharType="begin"/>
      </w:r>
      <w:r>
        <w:instrText xml:space="preserve"> HYPERLINK "https://www.zcygov.cn/）获取（下载）招标文件，并于2023年6月12日13点30分00秒" </w:instrText>
      </w:r>
      <w:r>
        <w:fldChar w:fldCharType="separate"/>
      </w:r>
      <w:r>
        <w:rPr>
          <w:rStyle w:val="76"/>
          <w:rFonts w:ascii="宋体" w:hAnsi="宋体" w:eastAsia="宋体" w:cs="Times New Roman"/>
          <w:color w:val="auto"/>
          <w:kern w:val="2"/>
          <w:sz w:val="24"/>
          <w:szCs w:val="24"/>
        </w:rPr>
        <w:t>https://www.zcygov.cn/）获取（下载）招标文件，并于</w:t>
      </w:r>
      <w:r>
        <w:rPr>
          <w:rStyle w:val="76"/>
          <w:rFonts w:hint="eastAsia" w:ascii="宋体" w:hAnsi="宋体" w:eastAsia="宋体" w:cs="Times New Roman"/>
          <w:b/>
          <w:bCs/>
          <w:color w:val="auto"/>
          <w:kern w:val="2"/>
          <w:sz w:val="24"/>
          <w:szCs w:val="24"/>
        </w:rPr>
        <w:t>202</w:t>
      </w:r>
      <w:r>
        <w:rPr>
          <w:rStyle w:val="76"/>
          <w:rFonts w:hint="eastAsia" w:ascii="宋体" w:hAnsi="宋体" w:cs="Times New Roman"/>
          <w:b/>
          <w:bCs/>
          <w:color w:val="auto"/>
          <w:kern w:val="2"/>
          <w:sz w:val="24"/>
          <w:szCs w:val="24"/>
        </w:rPr>
        <w:t>3</w:t>
      </w:r>
      <w:r>
        <w:rPr>
          <w:rStyle w:val="76"/>
          <w:rFonts w:ascii="宋体" w:hAnsi="宋体" w:eastAsia="宋体" w:cs="Times New Roman"/>
          <w:b/>
          <w:bCs/>
          <w:color w:val="auto"/>
          <w:kern w:val="2"/>
          <w:sz w:val="24"/>
          <w:szCs w:val="24"/>
        </w:rPr>
        <w:t>年</w:t>
      </w:r>
      <w:r>
        <w:rPr>
          <w:rStyle w:val="76"/>
          <w:rFonts w:hint="eastAsia" w:ascii="宋体" w:hAnsi="宋体" w:eastAsia="宋体" w:cs="Times New Roman"/>
          <w:b/>
          <w:bCs/>
          <w:color w:val="auto"/>
          <w:kern w:val="2"/>
          <w:sz w:val="24"/>
          <w:szCs w:val="24"/>
        </w:rPr>
        <w:t>6月12日13点</w:t>
      </w:r>
      <w:r>
        <w:rPr>
          <w:rStyle w:val="76"/>
          <w:rFonts w:hint="eastAsia" w:ascii="宋体" w:hAnsi="宋体" w:cs="Times New Roman"/>
          <w:b/>
          <w:bCs/>
          <w:color w:val="auto"/>
          <w:kern w:val="2"/>
          <w:sz w:val="24"/>
          <w:szCs w:val="24"/>
        </w:rPr>
        <w:t>30</w:t>
      </w:r>
      <w:r>
        <w:rPr>
          <w:rStyle w:val="76"/>
          <w:rFonts w:hint="eastAsia" w:ascii="宋体" w:hAnsi="宋体" w:eastAsia="宋体" w:cs="Times New Roman"/>
          <w:b/>
          <w:bCs/>
          <w:color w:val="auto"/>
          <w:kern w:val="2"/>
          <w:sz w:val="24"/>
          <w:szCs w:val="24"/>
        </w:rPr>
        <w:t>分00秒</w:t>
      </w:r>
      <w:r>
        <w:rPr>
          <w:rStyle w:val="76"/>
          <w:rFonts w:hint="eastAsia" w:ascii="宋体" w:hAnsi="宋体" w:eastAsia="宋体" w:cs="Times New Roman"/>
          <w:b/>
          <w:bCs/>
          <w:color w:val="auto"/>
          <w:kern w:val="2"/>
          <w:sz w:val="24"/>
          <w:szCs w:val="24"/>
        </w:rPr>
        <w:fldChar w:fldCharType="end"/>
      </w:r>
      <w:r>
        <w:rPr>
          <w:rFonts w:hint="eastAsia" w:ascii="宋体" w:hAnsi="宋体"/>
          <w:bCs/>
          <w:sz w:val="24"/>
        </w:rPr>
        <w:t>（北京时间）前</w:t>
      </w:r>
      <w:r>
        <w:rPr>
          <w:rFonts w:hint="eastAsia" w:ascii="宋体" w:hAnsi="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HZYHZFCG-2023-021</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rPr>
        <w:t>2023年度余杭区教育系统课桌椅规模化采购项目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sz w:val="24"/>
        </w:rPr>
        <w:t xml:space="preserve"> </w:t>
      </w:r>
      <w:r>
        <w:rPr>
          <w:rFonts w:ascii="宋体" w:hAnsi="宋体" w:cs="宋体"/>
          <w:sz w:val="24"/>
        </w:rPr>
        <w:t>5802</w:t>
      </w:r>
      <w:r>
        <w:rPr>
          <w:rFonts w:hint="eastAsia" w:ascii="宋体" w:hAnsi="宋体" w:cs="宋体"/>
          <w:sz w:val="24"/>
        </w:rPr>
        <w:t>000</w:t>
      </w:r>
      <w:r>
        <w:rPr>
          <w:rFonts w:ascii="宋体" w:hAnsi="宋体" w:cs="宋体"/>
          <w:sz w:val="24"/>
        </w:rPr>
        <w:tab/>
      </w:r>
    </w:p>
    <w:p>
      <w:pPr>
        <w:pStyle w:val="5"/>
        <w:spacing w:line="360" w:lineRule="auto"/>
        <w:ind w:firstLine="480"/>
        <w:rPr>
          <w:rFonts w:hAnsi="宋体" w:cs="宋体"/>
          <w:bCs/>
          <w:color w:val="auto"/>
          <w:kern w:val="2"/>
          <w:sz w:val="24"/>
          <w:szCs w:val="24"/>
        </w:rPr>
      </w:pPr>
      <w:r>
        <w:rPr>
          <w:rFonts w:hint="eastAsia" w:hAnsi="宋体" w:cs="宋体"/>
          <w:b/>
          <w:color w:val="auto"/>
          <w:sz w:val="24"/>
        </w:rPr>
        <w:t>采购需求：</w:t>
      </w:r>
      <w:r>
        <w:rPr>
          <w:rFonts w:hint="eastAsia" w:hAnsi="宋体" w:cs="宋体"/>
          <w:bCs/>
          <w:color w:val="auto"/>
          <w:kern w:val="2"/>
          <w:sz w:val="24"/>
          <w:szCs w:val="24"/>
        </w:rPr>
        <w:t>2023年度余杭区教育系统课桌椅规模化采购项目主要内容：采购清单中货物供货、安装调试、货物验收、培训、质保期内的售后服务等。</w:t>
      </w:r>
      <w:r>
        <w:rPr>
          <w:rFonts w:hint="eastAsia" w:hAnsi="宋体"/>
          <w:color w:val="auto"/>
          <w:kern w:val="2"/>
          <w:sz w:val="24"/>
          <w:szCs w:val="24"/>
        </w:rPr>
        <w:t>具体以招标文件第三部分采购需求为准，供应商可点击本公告下方“浏览采购文件”查看采购需求。</w:t>
      </w:r>
    </w:p>
    <w:p>
      <w:pPr>
        <w:pStyle w:val="85"/>
        <w:ind w:firstLine="482"/>
        <w:outlineLvl w:val="2"/>
        <w:rPr>
          <w:rFonts w:ascii="宋体" w:hAnsi="宋体" w:cs="宋体"/>
        </w:rPr>
      </w:pPr>
      <w:r>
        <w:rPr>
          <w:rFonts w:hint="eastAsia" w:ascii="宋体" w:hAnsi="宋体" w:cs="宋体"/>
          <w:b/>
        </w:rPr>
        <w:t>合同履约期限：</w:t>
      </w:r>
      <w:r>
        <w:rPr>
          <w:rFonts w:hint="eastAsia" w:ascii="宋体" w:hAnsi="宋体" w:cs="宋体"/>
          <w:bCs/>
          <w:snapToGrid w:val="0"/>
          <w:szCs w:val="24"/>
        </w:rPr>
        <w:t>原则上2023年7月31日前完成供货、安装调试及学校初步验收。</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r>
        <w:rPr>
          <w:rFonts w:hint="eastAsia" w:hAnsi="宋体" w:cs="宋体"/>
          <w:color w:val="auto"/>
          <w:kern w:val="0"/>
          <w:sz w:val="24"/>
        </w:rPr>
        <w:sym w:font="Wingdings" w:char="F0FE"/>
      </w:r>
      <w:r>
        <w:rPr>
          <w:rFonts w:hint="eastAsia" w:hAnsi="宋体" w:cs="宋体"/>
          <w:b/>
          <w:color w:val="auto"/>
          <w:sz w:val="24"/>
        </w:rPr>
        <w:t>是</w:t>
      </w:r>
      <w:r>
        <w:rPr>
          <w:rFonts w:hint="eastAsia" w:hAnsi="宋体" w:cs="宋体"/>
          <w:b/>
          <w:color w:val="auto"/>
          <w:kern w:val="2"/>
          <w:sz w:val="24"/>
        </w:rPr>
        <w:t>；</w:t>
      </w:r>
      <w:r>
        <w:rPr>
          <w:rFonts w:hint="eastAsia" w:hAnsi="宋体" w:cs="宋体"/>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MS Gothic" w:hAnsi="MS Gothic" w:eastAsia="MS Gothic" w:cs="宋体"/>
          <w:kern w:val="0"/>
          <w:sz w:val="24"/>
        </w:rPr>
        <w:sym w:font="Wingdings" w:char="F0FE"/>
      </w:r>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u w:val="single"/>
        </w:rPr>
      </w:pPr>
      <w:r>
        <w:rPr>
          <w:rFonts w:hint="eastAsia" w:hAnsi="宋体" w:cs="宋体"/>
          <w:kern w:val="0"/>
          <w:sz w:val="24"/>
        </w:rPr>
        <w:sym w:font="Wingdings" w:char="F0FE"/>
      </w:r>
      <w:r>
        <w:rPr>
          <w:rFonts w:hint="eastAsia" w:ascii="宋体" w:hAnsi="宋体" w:cs="宋体"/>
          <w:sz w:val="24"/>
        </w:rPr>
        <w:t>货物全部由符合政策要求的中小微企业制造，提供中小企业声明函；</w:t>
      </w:r>
    </w:p>
    <w:p>
      <w:pPr>
        <w:spacing w:line="360" w:lineRule="auto"/>
        <w:ind w:firstLine="897" w:firstLineChars="374"/>
        <w:rPr>
          <w:rFonts w:ascii="宋体" w:hAnsi="宋体" w:cs="宋体"/>
          <w:sz w:val="24"/>
        </w:rPr>
      </w:pPr>
      <w:r>
        <w:rPr>
          <w:rFonts w:hint="eastAsia" w:ascii="宋体" w:hAnsi="宋体" w:cs="宋体"/>
          <w:kern w:val="0"/>
          <w:sz w:val="24"/>
        </w:rPr>
        <w:t>☐</w:t>
      </w:r>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kern w:val="0"/>
          <w:sz w:val="24"/>
        </w:rPr>
        <w:t>☐</w:t>
      </w:r>
      <w:r>
        <w:rPr>
          <w:rFonts w:hint="eastAsia" w:ascii="宋体" w:hAnsi="宋体" w:cs="宋体"/>
          <w:sz w:val="24"/>
        </w:rPr>
        <w:t>要求合同分包，提供分包意向协议和中小企业声明函，分包意向协议中中小企业合同金额应当</w:t>
      </w:r>
      <w:r>
        <w:rPr>
          <w:rFonts w:hint="eastAsia" w:ascii="宋体" w:hAnsi="宋体" w:cs="宋体"/>
          <w:sz w:val="24"/>
          <w:lang w:eastAsia="zh-CN"/>
        </w:rPr>
        <w:t>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ascii="MS Gothic" w:hAnsi="MS Gothic" w:eastAsia="MS Gothic"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b/>
          <w:bCs/>
          <w:sz w:val="24"/>
          <w:u w:val="single"/>
        </w:rPr>
        <w:t>2023年6月12日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b/>
          <w:bCs/>
          <w:sz w:val="24"/>
          <w:u w:val="single"/>
        </w:rPr>
        <w:t xml:space="preserve"> 2023年6月12日13点30分00秒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b/>
          <w:bCs/>
          <w:sz w:val="24"/>
          <w:u w:val="single"/>
        </w:rPr>
        <w:t>2023年6月12日13点30分00秒</w:t>
      </w:r>
      <w:r>
        <w:rPr>
          <w:rFonts w:hint="eastAsia" w:ascii="宋体" w:hAnsi="宋体" w:cs="宋体"/>
          <w:sz w:val="24"/>
        </w:rPr>
        <w:t>（北京时间）</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称：杭州市余杭区教育资产营运中心 </w:t>
      </w:r>
    </w:p>
    <w:p>
      <w:pPr>
        <w:spacing w:line="360" w:lineRule="auto"/>
        <w:rPr>
          <w:rFonts w:ascii="宋体" w:hAnsi="宋体" w:cs="宋体"/>
          <w:sz w:val="24"/>
        </w:rPr>
      </w:pPr>
      <w:r>
        <w:rPr>
          <w:rFonts w:hint="eastAsia" w:ascii="宋体" w:hAnsi="宋体" w:cs="宋体"/>
          <w:sz w:val="24"/>
        </w:rPr>
        <w:t xml:space="preserve">    地    址：浙江省杭州市余杭区余杭街道凤新路366号瑞鸿大厦十一楼        </w:t>
      </w:r>
    </w:p>
    <w:p>
      <w:pPr>
        <w:spacing w:line="360" w:lineRule="auto"/>
        <w:ind w:firstLine="480" w:firstLineChars="200"/>
        <w:rPr>
          <w:rFonts w:ascii="宋体" w:hAnsi="宋体" w:cs="宋体"/>
          <w:sz w:val="24"/>
        </w:rPr>
      </w:pPr>
      <w:r>
        <w:rPr>
          <w:rFonts w:hint="eastAsia" w:ascii="宋体" w:hAnsi="宋体" w:cs="宋体"/>
          <w:sz w:val="24"/>
        </w:rPr>
        <w:t>项目联系人（询问）：</w:t>
      </w:r>
      <w:r>
        <w:rPr>
          <w:rFonts w:ascii="宋体" w:hAnsi="宋体" w:cs="宋体"/>
          <w:sz w:val="24"/>
        </w:rPr>
        <w:t>徐</w:t>
      </w:r>
      <w:r>
        <w:rPr>
          <w:rFonts w:hint="eastAsia" w:ascii="宋体" w:hAnsi="宋体" w:cs="宋体"/>
          <w:sz w:val="24"/>
        </w:rPr>
        <w:t xml:space="preserve">老师  </w:t>
      </w:r>
    </w:p>
    <w:p>
      <w:pPr>
        <w:spacing w:line="360" w:lineRule="auto"/>
        <w:rPr>
          <w:rFonts w:ascii="宋体" w:hAnsi="宋体" w:cs="宋体"/>
          <w:sz w:val="24"/>
        </w:rPr>
      </w:pPr>
      <w:r>
        <w:rPr>
          <w:rFonts w:hint="eastAsia" w:ascii="宋体" w:hAnsi="宋体" w:cs="宋体"/>
          <w:sz w:val="24"/>
        </w:rPr>
        <w:t xml:space="preserve">    项目联系方式（询问）：</w:t>
      </w:r>
      <w:r>
        <w:rPr>
          <w:rFonts w:ascii="宋体" w:hAnsi="宋体" w:cs="宋体"/>
          <w:sz w:val="24"/>
        </w:rPr>
        <w:t>0571-89392667</w:t>
      </w:r>
    </w:p>
    <w:p>
      <w:pPr>
        <w:spacing w:line="360" w:lineRule="auto"/>
        <w:rPr>
          <w:rFonts w:ascii="宋体" w:hAnsi="宋体" w:cs="宋体"/>
          <w:sz w:val="24"/>
        </w:rPr>
      </w:pPr>
      <w:r>
        <w:rPr>
          <w:rFonts w:hint="eastAsia" w:ascii="宋体" w:hAnsi="宋体" w:cs="宋体"/>
          <w:sz w:val="24"/>
        </w:rPr>
        <w:t xml:space="preserve">    质疑联系人：</w:t>
      </w:r>
      <w:r>
        <w:rPr>
          <w:rFonts w:ascii="宋体" w:hAnsi="宋体" w:cs="宋体"/>
          <w:sz w:val="24"/>
        </w:rPr>
        <w:t>王</w:t>
      </w:r>
      <w:r>
        <w:rPr>
          <w:rFonts w:hint="eastAsia" w:ascii="宋体" w:hAnsi="宋体" w:cs="宋体"/>
          <w:sz w:val="24"/>
        </w:rPr>
        <w:t>老师</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0571-89392667</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称：杭州市公共资源交易中心余杭分中心</w:t>
      </w:r>
    </w:p>
    <w:p>
      <w:pPr>
        <w:spacing w:line="360" w:lineRule="auto"/>
        <w:ind w:firstLine="480"/>
        <w:rPr>
          <w:rFonts w:ascii="宋体" w:hAnsi="宋体" w:cs="宋体"/>
          <w:sz w:val="24"/>
        </w:rPr>
      </w:pPr>
      <w:r>
        <w:rPr>
          <w:rFonts w:hint="eastAsia" w:ascii="宋体" w:hAnsi="宋体" w:cs="宋体"/>
          <w:sz w:val="24"/>
        </w:rPr>
        <w:t>地    址：浙江省杭州市余杭区余杭街道凤新路366号瑞鸿大厦六楼</w:t>
      </w:r>
    </w:p>
    <w:p>
      <w:pPr>
        <w:spacing w:line="360" w:lineRule="auto"/>
        <w:ind w:firstLine="480"/>
        <w:rPr>
          <w:rFonts w:ascii="宋体" w:hAnsi="宋体" w:cs="宋体"/>
          <w:sz w:val="24"/>
        </w:rPr>
      </w:pPr>
      <w:r>
        <w:rPr>
          <w:rFonts w:hint="eastAsia" w:ascii="宋体" w:hAnsi="宋体" w:cs="宋体"/>
          <w:sz w:val="24"/>
        </w:rPr>
        <w:t xml:space="preserve">电子邮箱：hzyhzfcg@126.com  </w:t>
      </w:r>
    </w:p>
    <w:p>
      <w:pPr>
        <w:spacing w:line="360" w:lineRule="auto"/>
        <w:rPr>
          <w:rFonts w:ascii="宋体" w:hAnsi="宋体" w:cs="宋体"/>
          <w:sz w:val="24"/>
        </w:rPr>
      </w:pPr>
      <w:r>
        <w:rPr>
          <w:rFonts w:hint="eastAsia" w:ascii="宋体" w:hAnsi="宋体" w:cs="宋体"/>
          <w:sz w:val="24"/>
        </w:rPr>
        <w:t xml:space="preserve">    传    真：0571-89395438 </w:t>
      </w:r>
    </w:p>
    <w:p>
      <w:pPr>
        <w:spacing w:line="360" w:lineRule="auto"/>
        <w:ind w:firstLine="480"/>
        <w:rPr>
          <w:rFonts w:ascii="宋体" w:hAnsi="宋体" w:cs="宋体"/>
          <w:sz w:val="24"/>
        </w:rPr>
      </w:pPr>
      <w:r>
        <w:rPr>
          <w:rFonts w:hint="eastAsia" w:ascii="宋体" w:hAnsi="宋体" w:cs="宋体"/>
          <w:sz w:val="24"/>
        </w:rPr>
        <w:t>项目联系人（询问）：高乐怡</w:t>
      </w:r>
    </w:p>
    <w:p>
      <w:pPr>
        <w:spacing w:line="360" w:lineRule="auto"/>
        <w:ind w:firstLine="480"/>
        <w:rPr>
          <w:rFonts w:ascii="宋体" w:hAnsi="宋体" w:cs="宋体"/>
          <w:sz w:val="24"/>
        </w:rPr>
      </w:pPr>
      <w:r>
        <w:rPr>
          <w:rFonts w:hint="eastAsia" w:ascii="宋体" w:hAnsi="宋体" w:cs="宋体"/>
          <w:sz w:val="24"/>
        </w:rPr>
        <w:t>项目联系方式（询问）：0571-89395184</w:t>
      </w:r>
    </w:p>
    <w:p>
      <w:pPr>
        <w:spacing w:line="360" w:lineRule="auto"/>
        <w:rPr>
          <w:rFonts w:ascii="宋体" w:hAnsi="宋体" w:cs="宋体"/>
          <w:sz w:val="24"/>
        </w:rPr>
      </w:pPr>
      <w:r>
        <w:rPr>
          <w:rFonts w:hint="eastAsia" w:ascii="宋体" w:hAnsi="宋体" w:cs="宋体"/>
          <w:sz w:val="24"/>
        </w:rPr>
        <w:t xml:space="preserve">    质疑联系人：邵华民</w:t>
      </w:r>
    </w:p>
    <w:p>
      <w:pPr>
        <w:spacing w:line="360" w:lineRule="auto"/>
        <w:rPr>
          <w:rFonts w:ascii="宋体" w:hAnsi="宋体" w:cs="宋体"/>
          <w:sz w:val="24"/>
        </w:rPr>
      </w:pPr>
      <w:r>
        <w:rPr>
          <w:rFonts w:hint="eastAsia" w:ascii="宋体" w:hAnsi="宋体" w:cs="宋体"/>
          <w:sz w:val="24"/>
        </w:rPr>
        <w:t xml:space="preserve">    质疑联系方式：0571-89395454</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ind w:firstLine="480" w:firstLineChars="200"/>
        <w:rPr>
          <w:rFonts w:ascii="宋体" w:hAnsi="宋体" w:cs="宋体"/>
          <w:sz w:val="24"/>
        </w:rPr>
      </w:pPr>
      <w:r>
        <w:rPr>
          <w:rFonts w:hint="eastAsia" w:ascii="宋体" w:hAnsi="宋体" w:cs="宋体"/>
          <w:sz w:val="24"/>
        </w:rPr>
        <w:t>名    称：杭州市余杭区财政局</w:t>
      </w:r>
    </w:p>
    <w:p>
      <w:pPr>
        <w:spacing w:line="360" w:lineRule="auto"/>
        <w:ind w:firstLine="480" w:firstLineChars="200"/>
        <w:rPr>
          <w:rFonts w:ascii="宋体" w:hAnsi="宋体" w:cs="宋体"/>
          <w:sz w:val="24"/>
        </w:rPr>
      </w:pPr>
      <w:r>
        <w:rPr>
          <w:rFonts w:hint="eastAsia" w:ascii="宋体" w:hAnsi="宋体" w:cs="宋体"/>
          <w:sz w:val="24"/>
        </w:rPr>
        <w:t>地    址：杭州市余杭区文一西路1500号8号楼</w:t>
      </w:r>
    </w:p>
    <w:p>
      <w:pPr>
        <w:spacing w:line="360" w:lineRule="auto"/>
        <w:ind w:firstLine="480" w:firstLineChars="200"/>
        <w:rPr>
          <w:rFonts w:ascii="宋体" w:hAnsi="宋体" w:cs="宋体"/>
          <w:sz w:val="24"/>
        </w:rPr>
      </w:pPr>
      <w:r>
        <w:rPr>
          <w:rFonts w:hint="eastAsia" w:ascii="宋体" w:hAnsi="宋体" w:cs="宋体"/>
          <w:sz w:val="24"/>
        </w:rPr>
        <w:t>传    真： 0571-88728858</w:t>
      </w:r>
    </w:p>
    <w:p>
      <w:pPr>
        <w:spacing w:line="360" w:lineRule="auto"/>
        <w:rPr>
          <w:rFonts w:ascii="宋体" w:hAnsi="宋体" w:cs="宋体"/>
          <w:sz w:val="24"/>
        </w:rPr>
      </w:pPr>
      <w:r>
        <w:rPr>
          <w:rFonts w:hint="eastAsia" w:ascii="宋体" w:hAnsi="宋体" w:cs="宋体"/>
          <w:sz w:val="24"/>
        </w:rPr>
        <w:t xml:space="preserve">    联 系 人 ：杜国强    </w:t>
      </w:r>
    </w:p>
    <w:p>
      <w:pPr>
        <w:spacing w:line="360" w:lineRule="auto"/>
        <w:ind w:firstLine="480"/>
        <w:rPr>
          <w:rFonts w:ascii="宋体" w:hAnsi="宋体" w:cs="宋体"/>
          <w:sz w:val="24"/>
        </w:rPr>
      </w:pPr>
      <w:r>
        <w:rPr>
          <w:rFonts w:hint="eastAsia" w:ascii="宋体" w:hAnsi="宋体" w:cs="宋体"/>
          <w:sz w:val="24"/>
        </w:rPr>
        <w:t xml:space="preserve">监督投诉电话：0571-88728858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2"/>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92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29"/>
        <w:gridCol w:w="1843"/>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u w:val="single"/>
              </w:rPr>
              <w:t>手摇式升降课桌椅A款（初中、高中）、手摇式升降课桌椅A款（小学）、手摇式升降课桌椅B款</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手摇式升降课桌椅A款（初中、高中）</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行业；</w:t>
            </w:r>
          </w:p>
          <w:p>
            <w:pPr>
              <w:snapToGrid w:val="0"/>
              <w:spacing w:line="360" w:lineRule="auto"/>
              <w:rPr>
                <w:rFonts w:ascii="宋体" w:hAnsi="宋体" w:cs="宋体"/>
                <w:kern w:val="0"/>
                <w:sz w:val="24"/>
              </w:rPr>
            </w:pPr>
            <w:r>
              <w:rPr>
                <w:rFonts w:hint="eastAsia" w:ascii="宋体" w:hAnsi="宋体" w:cs="宋体"/>
                <w:kern w:val="0"/>
                <w:sz w:val="24"/>
              </w:rPr>
              <w:t>（2）标的：</w:t>
            </w:r>
            <w:r>
              <w:rPr>
                <w:rFonts w:hint="eastAsia" w:ascii="宋体" w:hAnsi="宋体" w:cs="宋体"/>
                <w:kern w:val="0"/>
                <w:sz w:val="24"/>
                <w:u w:val="single"/>
              </w:rPr>
              <w:t>手摇式升降课桌椅A款（小学）</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行业；</w:t>
            </w:r>
          </w:p>
          <w:p>
            <w:pPr>
              <w:snapToGrid w:val="0"/>
              <w:spacing w:line="360" w:lineRule="auto"/>
              <w:rPr>
                <w:rFonts w:ascii="宋体" w:hAnsi="宋体" w:cs="宋体"/>
                <w:kern w:val="0"/>
                <w:sz w:val="24"/>
              </w:rPr>
            </w:pPr>
            <w:r>
              <w:rPr>
                <w:rFonts w:hint="eastAsia" w:ascii="宋体" w:hAnsi="宋体" w:cs="宋体"/>
                <w:kern w:val="0"/>
                <w:sz w:val="24"/>
              </w:rPr>
              <w:t>（3）标的：</w:t>
            </w:r>
            <w:r>
              <w:rPr>
                <w:rFonts w:hint="eastAsia" w:ascii="宋体" w:hAnsi="宋体" w:cs="宋体"/>
                <w:kern w:val="0"/>
                <w:sz w:val="24"/>
                <w:u w:val="single"/>
              </w:rPr>
              <w:t>手摇式升降课椅A款（初中、高中）</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行业；</w:t>
            </w:r>
          </w:p>
          <w:p>
            <w:pPr>
              <w:snapToGrid w:val="0"/>
              <w:spacing w:line="360" w:lineRule="auto"/>
              <w:rPr>
                <w:rFonts w:ascii="宋体" w:hAnsi="宋体" w:cs="宋体"/>
                <w:kern w:val="0"/>
                <w:sz w:val="24"/>
              </w:rPr>
            </w:pPr>
            <w:r>
              <w:rPr>
                <w:rFonts w:hint="eastAsia" w:ascii="宋体" w:hAnsi="宋体" w:cs="宋体"/>
                <w:kern w:val="0"/>
                <w:sz w:val="24"/>
              </w:rPr>
              <w:t>（4）标的：</w:t>
            </w:r>
            <w:r>
              <w:rPr>
                <w:rFonts w:hint="eastAsia" w:ascii="宋体" w:hAnsi="宋体" w:cs="宋体"/>
                <w:kern w:val="0"/>
                <w:sz w:val="24"/>
                <w:u w:val="single"/>
              </w:rPr>
              <w:t>手摇式升降课桌椅B款</w:t>
            </w:r>
            <w:r>
              <w:rPr>
                <w:rFonts w:hint="eastAsia" w:ascii="宋体" w:hAnsi="宋体" w:cs="宋体"/>
                <w:kern w:val="0"/>
                <w:sz w:val="24"/>
              </w:rPr>
              <w:t>，属于</w:t>
            </w:r>
            <w:r>
              <w:rPr>
                <w:rFonts w:hint="eastAsia" w:ascii="宋体" w:hAnsi="宋体" w:cs="宋体"/>
                <w:kern w:val="0"/>
                <w:sz w:val="24"/>
                <w:u w:val="single"/>
              </w:rPr>
              <w:t xml:space="preserve"> 工业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w:t>
            </w:r>
            <w:r>
              <w:rPr>
                <w:rFonts w:hint="eastAsia" w:ascii="宋体" w:hAnsi="宋体" w:cs="宋体"/>
                <w:sz w:val="24"/>
              </w:rPr>
              <w:t>同意将非主体、非关键性的</w:t>
            </w:r>
            <w:r>
              <w:rPr>
                <w:rFonts w:hint="eastAsia" w:ascii="宋体" w:hAnsi="宋体" w:cs="宋体"/>
                <w:sz w:val="24"/>
                <w:u w:val="single"/>
              </w:rPr>
              <w:t xml:space="preserve"> 货物运输  </w:t>
            </w:r>
            <w:r>
              <w:rPr>
                <w:rFonts w:hint="eastAsia" w:ascii="宋体" w:hAnsi="宋体" w:cs="宋体"/>
                <w:sz w:val="24"/>
              </w:rPr>
              <w:t>工作分包。注：不得限制大中型企业向小微企业合理分包。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kern w:val="0"/>
                <w:sz w:val="24"/>
              </w:rPr>
              <w:t xml:space="preserve"> </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6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ascii="Wingdings" w:hAnsi="Wingdings" w:cs="宋体"/>
                <w:kern w:val="0"/>
                <w:sz w:val="24"/>
              </w:rPr>
              <w:t></w:t>
            </w:r>
            <w:r>
              <w:rPr>
                <w:rFonts w:hint="eastAsia" w:ascii="宋体" w:hAnsi="宋体" w:cs="宋体"/>
                <w:kern w:val="0"/>
                <w:sz w:val="24"/>
              </w:rPr>
              <w:t>要求提供（未提供样品或提供样品不满足采购需求实质性条件的供应商，投标无效；不得出现能代表投标人和品牌的名称、标志、文字、图案、LOGO等所有暗示性内容，否则视为无效投标）：</w:t>
            </w:r>
          </w:p>
          <w:p>
            <w:pPr>
              <w:numPr>
                <w:ilvl w:val="0"/>
                <w:numId w:val="1"/>
              </w:numPr>
              <w:spacing w:line="360" w:lineRule="auto"/>
              <w:rPr>
                <w:rFonts w:ascii="宋体" w:hAnsi="宋体" w:cs="宋体"/>
                <w:snapToGrid w:val="0"/>
                <w:kern w:val="28"/>
                <w:sz w:val="24"/>
              </w:rPr>
            </w:pPr>
            <w:r>
              <w:rPr>
                <w:rFonts w:hint="eastAsia" w:ascii="宋体" w:hAnsi="宋体" w:cs="宋体"/>
                <w:snapToGrid w:val="0"/>
                <w:kern w:val="28"/>
                <w:sz w:val="24"/>
              </w:rPr>
              <w:t>样品：</w:t>
            </w:r>
          </w:p>
          <w:p>
            <w:pPr>
              <w:pStyle w:val="2"/>
              <w:keepNext w:val="0"/>
              <w:keepLines w:val="0"/>
              <w:adjustRightInd w:val="0"/>
              <w:snapToGrid w:val="0"/>
              <w:ind w:left="210" w:leftChars="100" w:firstLine="240" w:firstLineChars="100"/>
              <w:rPr>
                <w:rFonts w:ascii="宋体" w:hAnsi="宋体" w:eastAsia="宋体"/>
                <w:b w:val="0"/>
                <w:bCs w:val="0"/>
                <w:sz w:val="24"/>
                <w:szCs w:val="24"/>
                <w:lang w:val="en-US"/>
              </w:rPr>
            </w:pPr>
            <w:r>
              <w:rPr>
                <w:rFonts w:hint="eastAsia" w:ascii="宋体" w:hAnsi="宋体" w:eastAsia="宋体"/>
                <w:b w:val="0"/>
                <w:bCs w:val="0"/>
                <w:sz w:val="24"/>
                <w:szCs w:val="24"/>
                <w:lang w:val="en-US"/>
              </w:rPr>
              <w:t>1.手摇式升降课桌椅A款（初中、高中）1套</w:t>
            </w:r>
          </w:p>
          <w:p>
            <w:pPr>
              <w:snapToGrid w:val="0"/>
              <w:spacing w:line="360" w:lineRule="auto"/>
              <w:ind w:firstLine="480" w:firstLineChars="200"/>
              <w:rPr>
                <w:lang w:val="zh-CN"/>
              </w:rPr>
            </w:pPr>
            <w:r>
              <w:rPr>
                <w:rFonts w:hint="eastAsia" w:ascii="宋体" w:hAnsi="宋体"/>
                <w:sz w:val="24"/>
              </w:rPr>
              <w:t>2.手摇式升降课桌椅B款1套</w:t>
            </w:r>
          </w:p>
          <w:p>
            <w:pPr>
              <w:snapToGrid w:val="0"/>
              <w:spacing w:line="360" w:lineRule="auto"/>
              <w:ind w:firstLine="480" w:firstLineChars="200"/>
              <w:rPr>
                <w:rFonts w:ascii="宋体" w:hAnsi="宋体"/>
                <w:sz w:val="24"/>
              </w:rPr>
            </w:pPr>
            <w:r>
              <w:rPr>
                <w:rFonts w:hint="eastAsia" w:ascii="宋体" w:hAnsi="宋体"/>
                <w:sz w:val="24"/>
              </w:rPr>
              <w:t>3.小样：课桌椅所使用的钢管各一段（长度100mm），ABS塑料桌面（200*200mm）、多层板注塑桌面（可看到注塑截面，200*200mm），座靠板、TPE靠背连接件、手摇升降杆部件，以上小样如重复的可只提供一件，桌椅各留一个脚套不安装，便于评审；</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详见采购需求四、五</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w:t>
            </w:r>
          </w:p>
          <w:p>
            <w:pPr>
              <w:spacing w:line="360" w:lineRule="auto"/>
              <w:ind w:firstLine="240" w:firstLineChars="100"/>
              <w:rPr>
                <w:rFonts w:ascii="宋体" w:hAnsi="宋体" w:cs="宋体"/>
                <w:kern w:val="0"/>
                <w:sz w:val="24"/>
              </w:rPr>
            </w:pPr>
            <w:r>
              <w:rPr>
                <w:rFonts w:ascii="Wingdings" w:hAnsi="Wingdings" w:cs="宋体"/>
                <w:kern w:val="0"/>
                <w:sz w:val="24"/>
              </w:rPr>
              <w:t></w:t>
            </w:r>
            <w:r>
              <w:rPr>
                <w:rFonts w:hint="eastAsia" w:ascii="宋体" w:hAnsi="宋体" w:cs="宋体"/>
                <w:sz w:val="24"/>
              </w:rPr>
              <w:t>样品分超过价格分的50%，理由：</w:t>
            </w:r>
            <w:r>
              <w:rPr>
                <w:rFonts w:hint="eastAsia" w:ascii="宋体" w:hAnsi="宋体" w:cs="宋体"/>
                <w:sz w:val="24"/>
                <w:u w:val="single"/>
              </w:rPr>
              <w:t>本项目标的较为单一，样品能充分体现投标产品的质量、性能等，同时样品也是后期验收的重要依据之一</w:t>
            </w:r>
            <w:r>
              <w:rPr>
                <w:rFonts w:hint="eastAsia" w:ascii="宋体" w:hAnsi="宋体" w:cs="宋体"/>
                <w:kern w:val="0"/>
                <w:sz w:val="24"/>
              </w:rPr>
              <w:t>；</w:t>
            </w:r>
          </w:p>
          <w:p>
            <w:pPr>
              <w:spacing w:line="360" w:lineRule="auto"/>
              <w:ind w:firstLine="240" w:firstLineChars="100"/>
              <w:rPr>
                <w:rFonts w:ascii="宋体" w:hAnsi="宋体" w:cs="宋体"/>
                <w:kern w:val="0"/>
                <w:sz w:val="24"/>
              </w:rPr>
            </w:pPr>
            <w:r>
              <w:rPr>
                <w:rFonts w:hint="eastAsia" w:ascii="宋体" w:hAnsi="宋体" w:cs="宋体"/>
                <w:snapToGrid w:val="0"/>
                <w:kern w:val="28"/>
                <w:sz w:val="24"/>
              </w:rPr>
              <w:t>详见招标文件第四部分</w:t>
            </w:r>
            <w:r>
              <w:rPr>
                <w:rFonts w:hint="eastAsia" w:ascii="宋体" w:hAnsi="宋体" w:cs="宋体"/>
                <w:sz w:val="24"/>
                <w:u w:val="single"/>
              </w:rPr>
              <w:t>评标办法</w:t>
            </w:r>
            <w:r>
              <w:rPr>
                <w:rFonts w:hint="eastAsia" w:ascii="宋体" w:hAnsi="宋体" w:cs="宋体"/>
                <w:kern w:val="0"/>
                <w:sz w:val="24"/>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宋体" w:hAnsi="宋体" w:cs="宋体"/>
                <w:kern w:val="0"/>
                <w:sz w:val="24"/>
              </w:rPr>
              <w:sym w:font="Wingdings" w:char="F0FE"/>
            </w:r>
            <w:r>
              <w:rPr>
                <w:rFonts w:hint="eastAsia" w:ascii="宋体" w:hAnsi="宋体" w:cs="宋体"/>
                <w:kern w:val="0"/>
                <w:sz w:val="24"/>
              </w:rPr>
              <w:t>否。</w:t>
            </w:r>
          </w:p>
          <w:p>
            <w:pPr>
              <w:spacing w:line="360" w:lineRule="auto"/>
              <w:rPr>
                <w:rFonts w:ascii="宋体" w:hAnsi="宋体" w:cs="宋体"/>
                <w:sz w:val="24"/>
              </w:rPr>
            </w:pPr>
            <w:r>
              <w:rPr>
                <w:rFonts w:hint="eastAsia" w:ascii="宋体" w:hAnsi="宋体" w:cs="宋体"/>
                <w:sz w:val="24"/>
              </w:rPr>
              <w:t>（5）提供样品的时间：2023年</w:t>
            </w:r>
            <w:r>
              <w:rPr>
                <w:rFonts w:hint="eastAsia" w:ascii="宋体" w:hAnsi="宋体" w:cs="宋体"/>
                <w:sz w:val="24"/>
                <w:u w:val="single"/>
              </w:rPr>
              <w:t xml:space="preserve">6月12日8：30 —— 11：30 </w:t>
            </w:r>
            <w:r>
              <w:rPr>
                <w:rFonts w:hint="eastAsia" w:ascii="宋体" w:hAnsi="宋体" w:cs="宋体"/>
                <w:kern w:val="0"/>
                <w:sz w:val="24"/>
              </w:rPr>
              <w:t>；</w:t>
            </w:r>
            <w:r>
              <w:rPr>
                <w:rFonts w:hint="eastAsia" w:ascii="宋体" w:hAnsi="宋体" w:cs="宋体"/>
                <w:b/>
                <w:kern w:val="0"/>
                <w:sz w:val="24"/>
              </w:rPr>
              <w:t>地点：</w:t>
            </w:r>
            <w:r>
              <w:rPr>
                <w:rFonts w:hint="eastAsia" w:ascii="宋体" w:hAnsi="宋体" w:cs="宋体"/>
                <w:b/>
                <w:kern w:val="0"/>
                <w:sz w:val="24"/>
                <w:u w:val="single"/>
              </w:rPr>
              <w:t>杭州市余杭区余杭街道凤新路与城东路交叉口东南100米瑞鸿大厦B1样品间（位于地下车库凤新路出入口附近）</w:t>
            </w:r>
            <w:r>
              <w:rPr>
                <w:rFonts w:hint="eastAsia" w:ascii="宋体" w:hAnsi="宋体" w:cs="宋体"/>
                <w:b/>
                <w:kern w:val="0"/>
                <w:sz w:val="24"/>
              </w:rPr>
              <w:t>；联系人：</w:t>
            </w:r>
            <w:r>
              <w:rPr>
                <w:rFonts w:hint="eastAsia" w:ascii="宋体" w:hAnsi="宋体" w:cs="宋体"/>
                <w:b/>
                <w:kern w:val="0"/>
                <w:sz w:val="24"/>
                <w:u w:val="single"/>
              </w:rPr>
              <w:t>王老师</w:t>
            </w:r>
            <w:r>
              <w:rPr>
                <w:rFonts w:hint="eastAsia" w:ascii="宋体" w:hAnsi="宋体" w:cs="宋体"/>
                <w:b/>
                <w:kern w:val="0"/>
                <w:sz w:val="24"/>
              </w:rPr>
              <w:t>，联系电话：</w:t>
            </w:r>
            <w:r>
              <w:rPr>
                <w:rFonts w:hint="eastAsia" w:ascii="宋体" w:hAnsi="宋体" w:cs="宋体"/>
                <w:b/>
                <w:kern w:val="0"/>
                <w:sz w:val="24"/>
                <w:u w:val="single"/>
              </w:rPr>
              <w:t>13186980353</w:t>
            </w:r>
            <w:r>
              <w:rPr>
                <w:rFonts w:hint="eastAsia" w:ascii="宋体" w:hAnsi="宋体" w:cs="宋体"/>
                <w:b/>
                <w:kern w:val="0"/>
                <w:sz w:val="24"/>
              </w:rPr>
              <w:t>。</w:t>
            </w:r>
            <w:r>
              <w:rPr>
                <w:rFonts w:hint="eastAsia" w:ascii="宋体" w:hAnsi="宋体" w:cs="宋体"/>
                <w:sz w:val="24"/>
              </w:rPr>
              <w:t>请投标人在上述时间内提供样品并按规定位置安装完毕。超过截止时间的，采购人将不予接收，并将清场并封闭样品现场。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t></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04"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04"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节能产品、环境标志产品政府优先采购或强制采购</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lang w:val="zh-CN"/>
              </w:rPr>
            </w:pPr>
            <w:r>
              <w:rPr>
                <w:rFonts w:ascii="Wingdings" w:hAnsi="Wingdings" w:cs="宋体"/>
                <w:kern w:val="0"/>
                <w:sz w:val="24"/>
              </w:rPr>
              <w:t></w:t>
            </w:r>
            <w:r>
              <w:rPr>
                <w:rFonts w:hint="eastAsia" w:ascii="宋体" w:hAnsi="宋体" w:cs="宋体"/>
                <w:kern w:val="0"/>
                <w:sz w:val="24"/>
                <w:lang w:val="zh-CN"/>
              </w:rPr>
              <w:t>依据国家确定的认证机构出具的、处于有效期之内的环境标志产品认证证书，对获得证书的课桌椅实施政府优先采购，</w:t>
            </w:r>
            <w:r>
              <w:rPr>
                <w:rFonts w:hint="eastAsia" w:ascii="宋体" w:hAnsi="宋体" w:cs="宋体"/>
                <w:kern w:val="0"/>
                <w:sz w:val="24"/>
              </w:rPr>
              <w:t>详</w:t>
            </w:r>
            <w:r>
              <w:rPr>
                <w:rFonts w:hint="eastAsia" w:ascii="宋体" w:hAnsi="宋体" w:cs="宋体"/>
                <w:kern w:val="0"/>
                <w:sz w:val="24"/>
                <w:lang w:val="zh-CN"/>
              </w:rPr>
              <w:t>见</w:t>
            </w:r>
            <w:r>
              <w:rPr>
                <w:rFonts w:hint="eastAsia" w:ascii="宋体" w:hAnsi="宋体" w:cs="宋体"/>
                <w:kern w:val="0"/>
                <w:sz w:val="24"/>
                <w:u w:val="single"/>
                <w:lang w:val="zh-CN"/>
              </w:rPr>
              <w:t>评分标准</w:t>
            </w:r>
            <w:r>
              <w:rPr>
                <w:rFonts w:hint="eastAsia" w:ascii="宋体" w:hAnsi="宋体" w:cs="宋体"/>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ascii="宋体" w:hAnsi="宋体" w:cs="宋体"/>
                <w:b/>
                <w:kern w:val="0"/>
                <w:sz w:val="24"/>
              </w:rPr>
            </w:pPr>
            <w:r>
              <w:rPr>
                <w:rFonts w:hint="eastAsia" w:ascii="宋体" w:hAnsi="宋体" w:cs="宋体"/>
                <w:sz w:val="24"/>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1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804"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80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hAnsi="宋体" w:cs="宋体"/>
                <w:kern w:val="28"/>
                <w:sz w:val="24"/>
              </w:rPr>
            </w:pPr>
            <w:r>
              <w:rPr>
                <w:rFonts w:hint="eastAsia" w:ascii="宋体" w:hAnsi="宋体" w:cs="宋体"/>
                <w:snapToGrid w:val="0"/>
                <w:kern w:val="28"/>
                <w:sz w:val="24"/>
              </w:rPr>
              <w:t>投标人应当</w:t>
            </w:r>
            <w:r>
              <w:rPr>
                <w:rFonts w:hint="eastAsia" w:ascii="宋体" w:hAnsi="宋体" w:cs="宋体"/>
                <w:b/>
                <w:bCs/>
                <w:snapToGrid w:val="0"/>
                <w:kern w:val="28"/>
                <w:sz w:val="24"/>
              </w:rPr>
              <w:t>在投标截止时间前半小时内</w:t>
            </w:r>
            <w:r>
              <w:rPr>
                <w:rFonts w:hint="eastAsia" w:ascii="宋体" w:hAnsi="宋体" w:cs="宋体"/>
                <w:snapToGrid w:val="0"/>
                <w:kern w:val="28"/>
                <w:sz w:val="24"/>
              </w:rPr>
              <w:t>将备份投标文件密封送交到</w:t>
            </w:r>
            <w:r>
              <w:rPr>
                <w:rFonts w:hint="eastAsia" w:ascii="宋体" w:hAnsi="宋体" w:cs="宋体"/>
                <w:snapToGrid w:val="0"/>
                <w:kern w:val="28"/>
                <w:sz w:val="24"/>
                <w:u w:val="thick"/>
              </w:rPr>
              <w:t>杭州市公共资源交易中心余杭分中心1号开标室</w:t>
            </w:r>
            <w:r>
              <w:rPr>
                <w:rFonts w:hint="eastAsia" w:ascii="宋体" w:hAnsi="宋体" w:cs="宋体"/>
                <w:snapToGrid w:val="0"/>
                <w:kern w:val="28"/>
                <w:sz w:val="24"/>
              </w:rPr>
              <w:t>(浙江省杭州市余杭区余杭街道凤新路366号瑞鸿大厦六楼)，逾期送达或未密封将被拒收。采购人、采购代理机构不强制或变相强制投标人提交备份投标文件。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仿宋_GB2312"/>
                <w:b/>
                <w:sz w:val="24"/>
              </w:rPr>
              <w:t>特别说明</w:t>
            </w: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r>
              <w:rPr>
                <w:rFonts w:hint="eastAsia" w:ascii="宋体" w:hAnsi="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04"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kern w:val="0"/>
                <w:sz w:val="24"/>
              </w:rPr>
            </w:pPr>
            <w:r>
              <w:rPr>
                <w:rFonts w:hint="eastAsia" w:ascii="宋体" w:hAnsi="宋体" w:cs="Arial"/>
                <w:kern w:val="0"/>
                <w:sz w:val="24"/>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2" w:name="第三部分"/>
      <w:bookmarkStart w:id="13"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sz w:val="24"/>
        </w:rPr>
        <w:t>优先采购绿色包装产品、绿色物流配送服务以及循环利用产品。</w:t>
      </w:r>
    </w:p>
    <w:bookmarkEnd w:id="14"/>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rPr>
        <w:t>评标办分法明确具体的扣除比例，未明确的，给予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sz w:val="24"/>
        </w:rPr>
        <w:t>联合协议或者分包意向协议约定小微企业的合同份额占到合同总金额30%以上的</w:t>
      </w:r>
      <w:bookmarkEnd w:id="15"/>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w:t>
      </w:r>
      <w:r>
        <w:rPr>
          <w:rFonts w:hint="eastAsia" w:ascii="宋体" w:hAnsi="宋体" w:cs="宋体"/>
          <w:snapToGrid w:val="0"/>
          <w:kern w:val="28"/>
          <w:sz w:val="24"/>
        </w:rPr>
        <w:t>招标文件第四部分</w:t>
      </w:r>
      <w:r>
        <w:rPr>
          <w:rFonts w:hint="eastAsia" w:ascii="宋体" w:hAnsi="宋体" w:cs="宋体"/>
          <w:sz w:val="24"/>
        </w:rPr>
        <w:t>评标办分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571"/>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80" w:firstLineChars="200"/>
        <w:contextualSpacing/>
      </w:pPr>
      <w:r>
        <w:rPr>
          <w:rFonts w:hint="eastAsia"/>
        </w:rPr>
        <w:t>4.4.5 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85"/>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6" w:name="_Hlk101259339"/>
      <w:r>
        <w:rPr>
          <w:rFonts w:hint="eastAsia" w:ascii="宋体" w:hAnsi="宋体" w:cs="宋体"/>
          <w:snapToGrid w:val="0"/>
          <w:kern w:val="28"/>
          <w:sz w:val="24"/>
          <w:szCs w:val="20"/>
        </w:rPr>
        <w:t>联合协议</w:t>
      </w:r>
      <w:bookmarkEnd w:id="16"/>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79" w:firstLineChars="199"/>
        <w:rPr>
          <w:rFonts w:hAnsi="宋体" w:cs="宋体"/>
          <w:b/>
          <w:sz w:val="24"/>
          <w:szCs w:val="24"/>
        </w:rPr>
      </w:pPr>
      <w:r>
        <w:rPr>
          <w:rFonts w:hint="eastAsia" w:hAnsi="宋体" w:cs="宋体"/>
          <w:b/>
          <w:bCs/>
          <w:sz w:val="24"/>
          <w:szCs w:val="24"/>
        </w:rPr>
        <w:t xml:space="preserve">15.4 </w:t>
      </w:r>
      <w:r>
        <w:rPr>
          <w:rFonts w:hint="eastAsia" w:hAnsi="宋体" w:cs="宋体"/>
          <w:b/>
          <w:sz w:val="24"/>
          <w:szCs w:val="24"/>
        </w:rPr>
        <w:t>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5"/>
        <w:spacing w:before="0"/>
        <w:ind w:firstLine="480"/>
        <w:rPr>
          <w:rFonts w:ascii="宋体" w:hAnsi="宋体" w:cs="宋体"/>
        </w:rPr>
      </w:pPr>
      <w:r>
        <w:rPr>
          <w:rFonts w:hint="eastAsia" w:ascii="宋体" w:hAnsi="宋体" w:cs="宋体"/>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85"/>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85"/>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7"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20" w:firstLineChars="200"/>
      </w:pP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rPr>
        <w:t>2</w:t>
      </w:r>
      <w:r>
        <w:rPr>
          <w:rFonts w:hint="eastAsia" w:ascii="宋体" w:hAnsi="宋体" w:cs="宋体"/>
          <w:b/>
          <w:bCs/>
          <w:szCs w:val="24"/>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85"/>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85"/>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85"/>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8" w:name="_Hlt75236101"/>
      <w:bookmarkEnd w:id="18"/>
      <w:bookmarkStart w:id="19" w:name="_Hlt74729768"/>
      <w:bookmarkEnd w:id="19"/>
      <w:bookmarkStart w:id="20" w:name="_Hlt68072998"/>
      <w:bookmarkEnd w:id="20"/>
      <w:bookmarkStart w:id="21" w:name="_Hlt75236011"/>
      <w:bookmarkEnd w:id="21"/>
      <w:bookmarkStart w:id="22" w:name="_Hlt75236290"/>
      <w:bookmarkEnd w:id="22"/>
      <w:bookmarkStart w:id="23" w:name="_Hlt68403820"/>
      <w:bookmarkEnd w:id="23"/>
      <w:bookmarkStart w:id="24" w:name="_Hlt68073093"/>
      <w:bookmarkEnd w:id="24"/>
      <w:bookmarkStart w:id="25" w:name="_Hlt74730295"/>
      <w:bookmarkEnd w:id="25"/>
      <w:bookmarkStart w:id="26" w:name="_Hlt68057669"/>
      <w:bookmarkEnd w:id="26"/>
      <w:bookmarkStart w:id="27" w:name="_Hlt68072990"/>
      <w:bookmarkEnd w:id="27"/>
      <w:bookmarkStart w:id="28" w:name="_Hlt74707468"/>
      <w:bookmarkEnd w:id="28"/>
      <w:bookmarkStart w:id="29" w:name="_Hlt74714665"/>
      <w:bookmarkEnd w:id="29"/>
    </w:p>
    <w:bookmarkEnd w:id="12"/>
    <w:bookmarkEnd w:id="13"/>
    <w:p>
      <w:pPr>
        <w:spacing w:line="360" w:lineRule="auto"/>
        <w:jc w:val="center"/>
        <w:outlineLvl w:val="0"/>
        <w:rPr>
          <w:rFonts w:cs="宋体" w:asciiTheme="minorEastAsia" w:hAnsiTheme="minorEastAsia" w:eastAsiaTheme="minorEastAsia"/>
          <w:b/>
          <w:sz w:val="36"/>
          <w:szCs w:val="36"/>
        </w:rPr>
      </w:pPr>
      <w:bookmarkStart w:id="30" w:name="第四部分"/>
      <w:r>
        <w:rPr>
          <w:rFonts w:hint="eastAsia" w:cs="宋体" w:asciiTheme="minorEastAsia" w:hAnsiTheme="minorEastAsia" w:eastAsiaTheme="minorEastAsia"/>
          <w:b/>
          <w:sz w:val="36"/>
          <w:szCs w:val="36"/>
        </w:rPr>
        <w:t>第三部分   采购需求</w:t>
      </w:r>
    </w:p>
    <w:p>
      <w:pPr>
        <w:spacing w:line="360" w:lineRule="auto"/>
        <w:jc w:val="left"/>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一、项目概况</w:t>
      </w:r>
    </w:p>
    <w:p>
      <w:pPr>
        <w:snapToGrid w:val="0"/>
        <w:spacing w:line="400" w:lineRule="atLeast"/>
        <w:ind w:firstLine="592" w:firstLineChars="247"/>
        <w:rPr>
          <w:rFonts w:cs="仿宋" w:asciiTheme="minorEastAsia" w:hAnsiTheme="minorEastAsia" w:eastAsiaTheme="minorEastAsia"/>
          <w:bCs/>
          <w:sz w:val="24"/>
        </w:rPr>
      </w:pPr>
      <w:r>
        <w:rPr>
          <w:rFonts w:hint="eastAsia" w:cs="仿宋" w:asciiTheme="minorEastAsia" w:hAnsiTheme="minorEastAsia" w:eastAsiaTheme="minorEastAsia"/>
          <w:bCs/>
          <w:sz w:val="24"/>
        </w:rPr>
        <w:t>本项目为“交钥匙”项目，采购内容包括采购清单中货物供货、安装调试、货物验收、培训、质保期内的售后服务等。投标报价包括货款、标准附件、样品费、备品备件、专用工具、包装、存放、运输、装卸、保险、税金、货到就位以及安装、调试、保修等一切税金和费用及其他因本项目而产生的一切费用。</w:t>
      </w:r>
    </w:p>
    <w:p>
      <w:pPr>
        <w:rPr>
          <w:rFonts w:cs="仿宋" w:asciiTheme="minorEastAsia" w:hAnsiTheme="minorEastAsia" w:eastAsiaTheme="minorEastAsia"/>
          <w:b/>
          <w:bCs/>
          <w:sz w:val="24"/>
        </w:rPr>
      </w:pPr>
    </w:p>
    <w:p>
      <w:pPr>
        <w:rPr>
          <w:rFonts w:cs="仿宋" w:asciiTheme="minorEastAsia" w:hAnsiTheme="minorEastAsia" w:eastAsiaTheme="minorEastAsia"/>
          <w:b/>
          <w:bCs/>
          <w:sz w:val="24"/>
        </w:rPr>
      </w:pPr>
      <w:r>
        <w:rPr>
          <w:rFonts w:hint="eastAsia" w:cs="仿宋" w:asciiTheme="minorEastAsia" w:hAnsiTheme="minorEastAsia" w:eastAsiaTheme="minorEastAsia"/>
          <w:b/>
          <w:bCs/>
          <w:sz w:val="24"/>
        </w:rPr>
        <w:t>二、采购清单</w:t>
      </w:r>
    </w:p>
    <w:p>
      <w:pPr>
        <w:rPr>
          <w:rFonts w:asciiTheme="minorEastAsia" w:hAnsiTheme="minorEastAsia" w:eastAsiaTheme="minorEastAsia"/>
          <w:sz w:val="24"/>
        </w:rPr>
      </w:pPr>
    </w:p>
    <w:tbl>
      <w:tblPr>
        <w:tblStyle w:val="62"/>
        <w:tblW w:w="12958" w:type="dxa"/>
        <w:jc w:val="center"/>
        <w:tblLayout w:type="fixed"/>
        <w:tblCellMar>
          <w:top w:w="0" w:type="dxa"/>
          <w:left w:w="108" w:type="dxa"/>
          <w:bottom w:w="0" w:type="dxa"/>
          <w:right w:w="108" w:type="dxa"/>
        </w:tblCellMar>
      </w:tblPr>
      <w:tblGrid>
        <w:gridCol w:w="1192"/>
        <w:gridCol w:w="2268"/>
        <w:gridCol w:w="1418"/>
        <w:gridCol w:w="6023"/>
        <w:gridCol w:w="923"/>
        <w:gridCol w:w="1134"/>
      </w:tblGrid>
      <w:tr>
        <w:tblPrEx>
          <w:tblCellMar>
            <w:top w:w="0" w:type="dxa"/>
            <w:left w:w="108" w:type="dxa"/>
            <w:bottom w:w="0" w:type="dxa"/>
            <w:right w:w="108" w:type="dxa"/>
          </w:tblCellMar>
        </w:tblPrEx>
        <w:trPr>
          <w:trHeight w:val="930"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kern w:val="0"/>
                <w:sz w:val="24"/>
              </w:rPr>
              <w:t>序号</w:t>
            </w:r>
          </w:p>
        </w:tc>
        <w:tc>
          <w:tcPr>
            <w:tcW w:w="226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kern w:val="0"/>
                <w:sz w:val="24"/>
              </w:rPr>
            </w:pPr>
            <w:r>
              <w:rPr>
                <w:rFonts w:hint="eastAsia" w:asciiTheme="minorEastAsia" w:hAnsiTheme="minorEastAsia" w:eastAsiaTheme="minorEastAsia"/>
                <w:b/>
                <w:bCs/>
                <w:kern w:val="0"/>
                <w:sz w:val="24"/>
              </w:rPr>
              <w:t>标的</w:t>
            </w:r>
          </w:p>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kern w:val="0"/>
                <w:sz w:val="24"/>
              </w:rPr>
              <w:t>名称</w:t>
            </w:r>
          </w:p>
        </w:tc>
        <w:tc>
          <w:tcPr>
            <w:tcW w:w="14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sz w:val="24"/>
              </w:rPr>
              <w:t>技术参数</w:t>
            </w:r>
          </w:p>
        </w:tc>
        <w:tc>
          <w:tcPr>
            <w:tcW w:w="60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sz w:val="24"/>
              </w:rPr>
              <w:t>图片（如有）</w:t>
            </w:r>
          </w:p>
        </w:tc>
        <w:tc>
          <w:tcPr>
            <w:tcW w:w="9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kern w:val="0"/>
                <w:sz w:val="24"/>
              </w:rPr>
              <w:t>数量</w:t>
            </w:r>
          </w:p>
        </w:tc>
        <w:tc>
          <w:tcPr>
            <w:tcW w:w="113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b/>
                <w:bCs/>
                <w:sz w:val="24"/>
              </w:rPr>
            </w:pPr>
            <w:r>
              <w:rPr>
                <w:rFonts w:hint="eastAsia" w:asciiTheme="minorEastAsia" w:hAnsiTheme="minorEastAsia" w:eastAsiaTheme="minorEastAsia"/>
                <w:b/>
                <w:bCs/>
                <w:kern w:val="0"/>
                <w:sz w:val="24"/>
              </w:rPr>
              <w:t>单位</w:t>
            </w:r>
          </w:p>
        </w:tc>
      </w:tr>
      <w:tr>
        <w:tblPrEx>
          <w:tblCellMar>
            <w:top w:w="0" w:type="dxa"/>
            <w:left w:w="108" w:type="dxa"/>
            <w:bottom w:w="0" w:type="dxa"/>
            <w:right w:w="108" w:type="dxa"/>
          </w:tblCellMar>
        </w:tblPrEx>
        <w:trPr>
          <w:trHeight w:val="2806"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sz w:val="24"/>
              </w:rPr>
            </w:pPr>
            <w:r>
              <w:rPr>
                <w:rFonts w:hint="eastAsia" w:asciiTheme="minorEastAsia" w:hAnsiTheme="minorEastAsia" w:eastAsiaTheme="minorEastAsia"/>
                <w:kern w:val="0"/>
                <w:sz w:val="24"/>
              </w:rPr>
              <w:t>1</w:t>
            </w:r>
          </w:p>
        </w:tc>
        <w:tc>
          <w:tcPr>
            <w:tcW w:w="2268"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hint="eastAsia" w:asciiTheme="minorEastAsia" w:hAnsiTheme="minorEastAsia" w:eastAsiaTheme="minorEastAsia"/>
                <w:sz w:val="24"/>
              </w:rPr>
              <w:t>手摇式升降课桌椅A款（初中、高中）</w:t>
            </w:r>
          </w:p>
        </w:tc>
        <w:tc>
          <w:tcPr>
            <w:tcW w:w="141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详见招标文件中采购需求四、技术规格及要求</w:t>
            </w:r>
          </w:p>
        </w:tc>
        <w:tc>
          <w:tcPr>
            <w:tcW w:w="6023" w:type="dxa"/>
            <w:tcBorders>
              <w:top w:val="single" w:color="000000" w:sz="4" w:space="0"/>
              <w:left w:val="nil"/>
              <w:bottom w:val="single" w:color="000000" w:sz="4" w:space="0"/>
              <w:right w:val="single" w:color="000000" w:sz="4" w:space="0"/>
            </w:tcBorders>
            <w:vAlign w:val="center"/>
          </w:tcPr>
          <w:p>
            <w:pPr>
              <w:spacing w:line="360" w:lineRule="auto"/>
              <w:jc w:val="left"/>
              <w:rPr>
                <w:rFonts w:cs="仿宋_GB2312" w:asciiTheme="minorEastAsia" w:hAnsiTheme="minorEastAsia" w:eastAsiaTheme="minorEastAsia"/>
                <w:sz w:val="24"/>
              </w:rPr>
            </w:pPr>
            <w:r>
              <w:rPr>
                <w:rFonts w:asciiTheme="minorEastAsia" w:hAnsiTheme="minorEastAsia" w:eastAsiaTheme="minorEastAsia"/>
                <w:sz w:val="24"/>
              </w:rPr>
              <w:drawing>
                <wp:inline distT="0" distB="0" distL="0" distR="0">
                  <wp:extent cx="3383280" cy="213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383280" cy="2133600"/>
                          </a:xfrm>
                          <a:prstGeom prst="rect">
                            <a:avLst/>
                          </a:prstGeom>
                          <a:noFill/>
                          <a:ln>
                            <a:noFill/>
                          </a:ln>
                        </pic:spPr>
                      </pic:pic>
                    </a:graphicData>
                  </a:graphic>
                </wp:inline>
              </w:drawing>
            </w:r>
          </w:p>
        </w:tc>
        <w:tc>
          <w:tcPr>
            <w:tcW w:w="9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sz w:val="24"/>
              </w:rPr>
            </w:pPr>
            <w:r>
              <w:rPr>
                <w:rFonts w:asciiTheme="minorEastAsia" w:hAnsiTheme="minorEastAsia" w:eastAsiaTheme="minorEastAsia"/>
                <w:sz w:val="24"/>
              </w:rPr>
              <w:t>4025</w:t>
            </w:r>
          </w:p>
        </w:tc>
        <w:tc>
          <w:tcPr>
            <w:tcW w:w="1134"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套</w:t>
            </w:r>
          </w:p>
        </w:tc>
      </w:tr>
      <w:tr>
        <w:tblPrEx>
          <w:tblCellMar>
            <w:top w:w="0" w:type="dxa"/>
            <w:left w:w="108" w:type="dxa"/>
            <w:bottom w:w="0" w:type="dxa"/>
            <w:right w:w="108" w:type="dxa"/>
          </w:tblCellMar>
        </w:tblPrEx>
        <w:trPr>
          <w:trHeight w:val="2806"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2268"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hint="eastAsia" w:asciiTheme="minorEastAsia" w:hAnsiTheme="minorEastAsia" w:eastAsiaTheme="minorEastAsia"/>
                <w:sz w:val="24"/>
              </w:rPr>
              <w:t>手摇式升降课桌椅A款（小学）</w:t>
            </w:r>
          </w:p>
        </w:tc>
        <w:tc>
          <w:tcPr>
            <w:tcW w:w="141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详见招标文件中采购需求四、技术规格及要求</w:t>
            </w:r>
          </w:p>
        </w:tc>
        <w:tc>
          <w:tcPr>
            <w:tcW w:w="6023" w:type="dxa"/>
            <w:tcBorders>
              <w:top w:val="single" w:color="000000" w:sz="4" w:space="0"/>
              <w:left w:val="nil"/>
              <w:bottom w:val="single" w:color="000000" w:sz="4" w:space="0"/>
              <w:right w:val="single" w:color="000000" w:sz="4" w:space="0"/>
            </w:tcBorders>
            <w:vAlign w:val="center"/>
          </w:tcPr>
          <w:p>
            <w:pPr>
              <w:spacing w:line="360" w:lineRule="auto"/>
              <w:jc w:val="left"/>
              <w:rPr>
                <w:rFonts w:cs="仿宋_GB2312" w:asciiTheme="minorEastAsia" w:hAnsiTheme="minorEastAsia" w:eastAsiaTheme="minorEastAsia"/>
                <w:sz w:val="24"/>
              </w:rPr>
            </w:pPr>
            <w:r>
              <w:rPr>
                <w:rFonts w:asciiTheme="minorEastAsia" w:hAnsiTheme="minorEastAsia" w:eastAsiaTheme="minorEastAsia"/>
                <w:sz w:val="24"/>
              </w:rPr>
              <w:drawing>
                <wp:inline distT="0" distB="0" distL="0" distR="0">
                  <wp:extent cx="3383280" cy="2133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383280" cy="2133600"/>
                          </a:xfrm>
                          <a:prstGeom prst="rect">
                            <a:avLst/>
                          </a:prstGeom>
                          <a:noFill/>
                          <a:ln>
                            <a:noFill/>
                          </a:ln>
                        </pic:spPr>
                      </pic:pic>
                    </a:graphicData>
                  </a:graphic>
                </wp:inline>
              </w:drawing>
            </w:r>
          </w:p>
        </w:tc>
        <w:tc>
          <w:tcPr>
            <w:tcW w:w="9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sz w:val="24"/>
              </w:rPr>
            </w:pPr>
            <w:r>
              <w:rPr>
                <w:rFonts w:asciiTheme="minorEastAsia" w:hAnsiTheme="minorEastAsia" w:eastAsiaTheme="minorEastAsia"/>
                <w:sz w:val="24"/>
              </w:rPr>
              <w:t>8310</w:t>
            </w:r>
          </w:p>
        </w:tc>
        <w:tc>
          <w:tcPr>
            <w:tcW w:w="1134"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套</w:t>
            </w:r>
          </w:p>
        </w:tc>
      </w:tr>
      <w:tr>
        <w:tblPrEx>
          <w:tblCellMar>
            <w:top w:w="0" w:type="dxa"/>
            <w:left w:w="108" w:type="dxa"/>
            <w:bottom w:w="0" w:type="dxa"/>
            <w:right w:w="108" w:type="dxa"/>
          </w:tblCellMar>
        </w:tblPrEx>
        <w:trPr>
          <w:trHeight w:val="2806"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3</w:t>
            </w:r>
          </w:p>
        </w:tc>
        <w:tc>
          <w:tcPr>
            <w:tcW w:w="2268"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hint="eastAsia" w:asciiTheme="minorEastAsia" w:hAnsiTheme="minorEastAsia" w:eastAsiaTheme="minorEastAsia"/>
                <w:sz w:val="24"/>
              </w:rPr>
              <w:t>手摇式升降课椅A款（初中、高中）</w:t>
            </w:r>
          </w:p>
        </w:tc>
        <w:tc>
          <w:tcPr>
            <w:tcW w:w="141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详见招标文件中采购需求四、技术规格及要求</w:t>
            </w:r>
          </w:p>
        </w:tc>
        <w:tc>
          <w:tcPr>
            <w:tcW w:w="6023" w:type="dxa"/>
            <w:tcBorders>
              <w:top w:val="single" w:color="000000" w:sz="4" w:space="0"/>
              <w:left w:val="nil"/>
              <w:bottom w:val="single" w:color="000000" w:sz="4" w:space="0"/>
              <w:right w:val="single" w:color="000000" w:sz="4" w:space="0"/>
            </w:tcBorders>
            <w:vAlign w:val="center"/>
          </w:tcPr>
          <w:p>
            <w:pPr>
              <w:spacing w:line="360" w:lineRule="auto"/>
              <w:jc w:val="left"/>
              <w:rPr>
                <w:rFonts w:asciiTheme="minorEastAsia" w:hAnsiTheme="minorEastAsia" w:eastAsiaTheme="minorEastAsia"/>
                <w:sz w:val="24"/>
              </w:rPr>
            </w:pPr>
            <w:r>
              <w:rPr>
                <w:rFonts w:asciiTheme="minorEastAsia" w:hAnsiTheme="minorEastAsia" w:eastAsiaTheme="minorEastAsia"/>
                <w:sz w:val="24"/>
              </w:rPr>
              <w:drawing>
                <wp:inline distT="0" distB="0" distL="0" distR="0">
                  <wp:extent cx="1600200" cy="200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a:extLst>
                              <a:ext uri="{28A0092B-C50C-407E-A947-70E740481C1C}">
                                <a14:useLocalDpi xmlns:a14="http://schemas.microsoft.com/office/drawing/2010/main" val="0"/>
                              </a:ext>
                            </a:extLst>
                          </a:blip>
                          <a:srcRect l="50733"/>
                          <a:stretch>
                            <a:fillRect/>
                          </a:stretch>
                        </pic:blipFill>
                        <pic:spPr>
                          <a:xfrm>
                            <a:off x="0" y="0"/>
                            <a:ext cx="1600200" cy="2000250"/>
                          </a:xfrm>
                          <a:prstGeom prst="rect">
                            <a:avLst/>
                          </a:prstGeom>
                          <a:noFill/>
                          <a:ln>
                            <a:noFill/>
                          </a:ln>
                        </pic:spPr>
                      </pic:pic>
                    </a:graphicData>
                  </a:graphic>
                </wp:inline>
              </w:drawing>
            </w:r>
          </w:p>
          <w:p>
            <w:pPr>
              <w:spacing w:line="360" w:lineRule="auto"/>
              <w:jc w:val="left"/>
              <w:rPr>
                <w:rFonts w:cs="仿宋_GB2312" w:asciiTheme="minorEastAsia" w:hAnsiTheme="minorEastAsia" w:eastAsiaTheme="minorEastAsia"/>
                <w:sz w:val="24"/>
              </w:rPr>
            </w:pPr>
          </w:p>
        </w:tc>
        <w:tc>
          <w:tcPr>
            <w:tcW w:w="9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200</w:t>
            </w:r>
          </w:p>
        </w:tc>
        <w:tc>
          <w:tcPr>
            <w:tcW w:w="1134"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张</w:t>
            </w:r>
          </w:p>
        </w:tc>
      </w:tr>
      <w:tr>
        <w:tblPrEx>
          <w:tblCellMar>
            <w:top w:w="0" w:type="dxa"/>
            <w:left w:w="108" w:type="dxa"/>
            <w:bottom w:w="0" w:type="dxa"/>
            <w:right w:w="108" w:type="dxa"/>
          </w:tblCellMar>
        </w:tblPrEx>
        <w:trPr>
          <w:trHeight w:val="2806"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kern w:val="0"/>
                <w:sz w:val="24"/>
              </w:rPr>
            </w:pPr>
            <w:r>
              <w:rPr>
                <w:rFonts w:hint="eastAsia" w:asciiTheme="minorEastAsia" w:hAnsiTheme="minorEastAsia" w:eastAsiaTheme="minorEastAsia"/>
                <w:kern w:val="0"/>
                <w:sz w:val="24"/>
              </w:rPr>
              <w:t>4</w:t>
            </w:r>
          </w:p>
        </w:tc>
        <w:tc>
          <w:tcPr>
            <w:tcW w:w="2268"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hint="eastAsia" w:asciiTheme="minorEastAsia" w:hAnsiTheme="minorEastAsia" w:eastAsiaTheme="minorEastAsia"/>
                <w:sz w:val="24"/>
              </w:rPr>
              <w:t>手摇式升降课桌椅B款</w:t>
            </w:r>
          </w:p>
        </w:tc>
        <w:tc>
          <w:tcPr>
            <w:tcW w:w="1418"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sz w:val="24"/>
              </w:rPr>
            </w:pPr>
            <w:r>
              <w:rPr>
                <w:rFonts w:hint="eastAsia" w:asciiTheme="minorEastAsia" w:hAnsiTheme="minorEastAsia" w:eastAsiaTheme="minorEastAsia"/>
                <w:kern w:val="0"/>
                <w:sz w:val="24"/>
              </w:rPr>
              <w:t>详见招标文件中采购需求四、技术规格及要求</w:t>
            </w:r>
          </w:p>
        </w:tc>
        <w:tc>
          <w:tcPr>
            <w:tcW w:w="6023" w:type="dxa"/>
            <w:tcBorders>
              <w:top w:val="single" w:color="000000" w:sz="4" w:space="0"/>
              <w:left w:val="nil"/>
              <w:bottom w:val="single" w:color="000000" w:sz="4" w:space="0"/>
              <w:right w:val="single" w:color="000000" w:sz="4" w:space="0"/>
            </w:tcBorders>
            <w:vAlign w:val="center"/>
          </w:tcPr>
          <w:p>
            <w:pPr>
              <w:spacing w:line="360" w:lineRule="auto"/>
              <w:jc w:val="left"/>
              <w:rPr>
                <w:rFonts w:cs="仿宋_GB2312" w:asciiTheme="minorEastAsia" w:hAnsiTheme="minorEastAsia" w:eastAsiaTheme="minorEastAsia"/>
                <w:sz w:val="24"/>
              </w:rPr>
            </w:pPr>
            <w:r>
              <w:rPr>
                <w:rFonts w:asciiTheme="minorEastAsia" w:hAnsiTheme="minorEastAsia" w:eastAsiaTheme="minorEastAsia"/>
                <w:sz w:val="24"/>
              </w:rPr>
              <w:drawing>
                <wp:inline distT="0" distB="0" distL="0" distR="0">
                  <wp:extent cx="3453765" cy="2000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53984" cy="2000250"/>
                          </a:xfrm>
                          <a:prstGeom prst="rect">
                            <a:avLst/>
                          </a:prstGeom>
                          <a:noFill/>
                          <a:ln>
                            <a:noFill/>
                          </a:ln>
                        </pic:spPr>
                      </pic:pic>
                    </a:graphicData>
                  </a:graphic>
                </wp:inline>
              </w:drawing>
            </w:r>
          </w:p>
        </w:tc>
        <w:tc>
          <w:tcPr>
            <w:tcW w:w="92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heme="minorEastAsia" w:hAnsiTheme="minorEastAsia" w:eastAsiaTheme="minorEastAsia"/>
                <w:sz w:val="24"/>
              </w:rPr>
            </w:pPr>
            <w:r>
              <w:rPr>
                <w:rFonts w:asciiTheme="minorEastAsia" w:hAnsiTheme="minorEastAsia" w:eastAsiaTheme="minorEastAsia"/>
                <w:sz w:val="24"/>
              </w:rPr>
              <w:t>2095</w:t>
            </w:r>
          </w:p>
        </w:tc>
        <w:tc>
          <w:tcPr>
            <w:tcW w:w="1134" w:type="dxa"/>
            <w:tcBorders>
              <w:top w:val="single" w:color="000000" w:sz="4" w:space="0"/>
              <w:left w:val="nil"/>
              <w:bottom w:val="single" w:color="000000" w:sz="4" w:space="0"/>
              <w:right w:val="single" w:color="000000" w:sz="4" w:space="0"/>
            </w:tcBorders>
            <w:vAlign w:val="center"/>
          </w:tcPr>
          <w:p>
            <w:pPr>
              <w:widowControl/>
              <w:textAlignment w:val="center"/>
              <w:rPr>
                <w:rFonts w:asciiTheme="minorEastAsia" w:hAnsiTheme="minorEastAsia" w:eastAsiaTheme="minorEastAsia"/>
                <w:sz w:val="24"/>
              </w:rPr>
            </w:pPr>
            <w:r>
              <w:rPr>
                <w:rFonts w:asciiTheme="minorEastAsia" w:hAnsiTheme="minorEastAsia" w:eastAsiaTheme="minorEastAsia"/>
                <w:sz w:val="24"/>
              </w:rPr>
              <w:t>套</w:t>
            </w:r>
          </w:p>
        </w:tc>
      </w:tr>
    </w:tbl>
    <w:p>
      <w:pPr>
        <w:pStyle w:val="24"/>
        <w:rPr>
          <w:rFonts w:asciiTheme="minorEastAsia" w:hAnsiTheme="minorEastAsia" w:eastAsiaTheme="minorEastAsia"/>
        </w:rPr>
      </w:pPr>
    </w:p>
    <w:p>
      <w:pPr>
        <w:rPr>
          <w:rFonts w:asciiTheme="minorEastAsia" w:hAnsiTheme="minorEastAsia" w:eastAsiaTheme="minorEastAsia"/>
          <w:sz w:val="24"/>
        </w:rPr>
      </w:pPr>
    </w:p>
    <w:p>
      <w:pPr>
        <w:rPr>
          <w:rFonts w:asciiTheme="minorEastAsia" w:hAnsiTheme="minorEastAsia" w:eastAsiaTheme="minorEastAsia"/>
          <w:sz w:val="24"/>
        </w:rPr>
        <w:sectPr>
          <w:pgSz w:w="16838" w:h="11906" w:orient="landscape"/>
          <w:pgMar w:top="1418" w:right="1276" w:bottom="1418" w:left="1247" w:header="851" w:footer="992" w:gutter="0"/>
          <w:cols w:space="720" w:num="1"/>
          <w:titlePg/>
          <w:docGrid w:linePitch="312" w:charSpace="0"/>
        </w:sectPr>
      </w:pPr>
    </w:p>
    <w:p>
      <w:pPr>
        <w:spacing w:line="360" w:lineRule="auto"/>
        <w:jc w:val="left"/>
        <w:rPr>
          <w:rFonts w:cs="仿宋_GB2312" w:asciiTheme="minorEastAsia" w:hAnsiTheme="minorEastAsia" w:eastAsiaTheme="minorEastAsia"/>
          <w:b/>
          <w:bCs/>
          <w:sz w:val="24"/>
        </w:rPr>
      </w:pPr>
      <w:r>
        <w:rPr>
          <w:rFonts w:cs="仿宋_GB2312" w:asciiTheme="minorEastAsia" w:hAnsiTheme="minorEastAsia" w:eastAsiaTheme="minorEastAsia"/>
          <w:b/>
          <w:bCs/>
          <w:sz w:val="24"/>
        </w:rPr>
        <w:t>三</w:t>
      </w:r>
      <w:r>
        <w:rPr>
          <w:rFonts w:hint="eastAsia" w:cs="仿宋_GB2312" w:asciiTheme="minorEastAsia" w:hAnsiTheme="minorEastAsia" w:eastAsiaTheme="minorEastAsia"/>
          <w:b/>
          <w:bCs/>
          <w:sz w:val="24"/>
        </w:rPr>
        <w:t>、学校需求汇总表</w:t>
      </w:r>
    </w:p>
    <w:p>
      <w:pPr>
        <w:pStyle w:val="2"/>
        <w:rPr>
          <w:rFonts w:asciiTheme="minorEastAsia" w:hAnsiTheme="minorEastAsia" w:eastAsiaTheme="minorEastAsia"/>
          <w:lang w:val="en-US"/>
        </w:rPr>
      </w:pPr>
    </w:p>
    <w:p>
      <w:pPr>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手摇式升降课桌椅A款具体清单如下。</w:t>
      </w:r>
    </w:p>
    <w:tbl>
      <w:tblPr>
        <w:tblStyle w:val="62"/>
        <w:tblW w:w="0" w:type="auto"/>
        <w:jc w:val="center"/>
        <w:tblLayout w:type="fixed"/>
        <w:tblCellMar>
          <w:top w:w="0" w:type="dxa"/>
          <w:left w:w="108" w:type="dxa"/>
          <w:bottom w:w="0" w:type="dxa"/>
          <w:right w:w="108" w:type="dxa"/>
        </w:tblCellMar>
      </w:tblPr>
      <w:tblGrid>
        <w:gridCol w:w="1062"/>
        <w:gridCol w:w="6361"/>
        <w:gridCol w:w="1072"/>
      </w:tblGrid>
      <w:tr>
        <w:tblPrEx>
          <w:tblCellMar>
            <w:top w:w="0" w:type="dxa"/>
            <w:left w:w="108" w:type="dxa"/>
            <w:bottom w:w="0" w:type="dxa"/>
            <w:right w:w="108" w:type="dxa"/>
          </w:tblCellMar>
        </w:tblPrEx>
        <w:trPr>
          <w:trHeight w:val="285" w:hRule="atLeast"/>
          <w:jc w:val="center"/>
        </w:trPr>
        <w:tc>
          <w:tcPr>
            <w:tcW w:w="84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初中、高中课桌椅</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学校（园）名称（与公章一致）</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总数</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杭州市余杭区良渚第二中学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杭州市余杭区五常中学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杭州市余杭第一中学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杭州市余杭区仓前中学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杭州市余杭区瓶窑镇第一中学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杭州市余杭区径山镇中学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700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杭州市余杭区良渚第一中学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650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9</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杭州市余杭区太炎中学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10</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杭州市余杭区中泰中学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225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rPr>
                <w:rFonts w:asciiTheme="minorEastAsia" w:hAnsiTheme="minorEastAsia" w:eastAsiaTheme="minorEastAsia"/>
              </w:rPr>
            </w:pPr>
            <w:r>
              <w:rPr>
                <w:rFonts w:hint="eastAsia" w:cs="仿宋" w:asciiTheme="minorEastAsia" w:hAnsiTheme="minorEastAsia" w:eastAsiaTheme="minorEastAsia"/>
              </w:rPr>
              <w:t>合计</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4025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sz w:val="24"/>
              </w:rPr>
            </w:pPr>
            <w:r>
              <w:rPr>
                <w:rFonts w:hint="eastAsia" w:cs="仿宋" w:asciiTheme="minorEastAsia" w:hAnsiTheme="minorEastAsia" w:eastAsiaTheme="minorEastAsia"/>
                <w:b/>
                <w:sz w:val="24"/>
              </w:rPr>
              <w:t>另：</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杭州市余杭良渚职业高级中学（仅课椅）</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200</w:t>
            </w:r>
          </w:p>
        </w:tc>
      </w:tr>
      <w:tr>
        <w:tblPrEx>
          <w:tblCellMar>
            <w:top w:w="0" w:type="dxa"/>
            <w:left w:w="108" w:type="dxa"/>
            <w:bottom w:w="0" w:type="dxa"/>
            <w:right w:w="108" w:type="dxa"/>
          </w:tblCellMar>
        </w:tblPrEx>
        <w:trPr>
          <w:trHeight w:val="285" w:hRule="atLeast"/>
          <w:jc w:val="center"/>
        </w:trPr>
        <w:tc>
          <w:tcPr>
            <w:tcW w:w="1062" w:type="dxa"/>
            <w:tcBorders>
              <w:top w:val="nil"/>
              <w:left w:val="nil"/>
              <w:bottom w:val="nil"/>
              <w:right w:val="nil"/>
            </w:tcBorders>
            <w:vAlign w:val="center"/>
          </w:tcPr>
          <w:p>
            <w:pPr>
              <w:spacing w:line="400" w:lineRule="atLeast"/>
              <w:rPr>
                <w:rFonts w:cs="仿宋" w:asciiTheme="minorEastAsia" w:hAnsiTheme="minorEastAsia" w:eastAsiaTheme="minorEastAsia"/>
                <w:sz w:val="24"/>
              </w:rPr>
            </w:pPr>
          </w:p>
        </w:tc>
        <w:tc>
          <w:tcPr>
            <w:tcW w:w="6361" w:type="dxa"/>
            <w:tcBorders>
              <w:top w:val="nil"/>
              <w:left w:val="nil"/>
              <w:bottom w:val="nil"/>
              <w:right w:val="nil"/>
            </w:tcBorders>
            <w:vAlign w:val="center"/>
          </w:tcPr>
          <w:p>
            <w:pPr>
              <w:spacing w:line="400" w:lineRule="atLeast"/>
              <w:rPr>
                <w:rFonts w:cs="仿宋" w:asciiTheme="minorEastAsia" w:hAnsiTheme="minorEastAsia" w:eastAsiaTheme="minorEastAsia"/>
                <w:sz w:val="24"/>
              </w:rPr>
            </w:pPr>
          </w:p>
        </w:tc>
        <w:tc>
          <w:tcPr>
            <w:tcW w:w="1072" w:type="dxa"/>
            <w:tcBorders>
              <w:top w:val="nil"/>
              <w:left w:val="nil"/>
              <w:bottom w:val="nil"/>
              <w:right w:val="nil"/>
            </w:tcBorders>
            <w:vAlign w:val="center"/>
          </w:tcPr>
          <w:p>
            <w:pPr>
              <w:spacing w:line="400" w:lineRule="atLeast"/>
              <w:jc w:val="center"/>
              <w:rPr>
                <w:rFonts w:cs="仿宋" w:asciiTheme="minorEastAsia" w:hAnsiTheme="minorEastAsia" w:eastAsiaTheme="minorEastAsia"/>
                <w:sz w:val="24"/>
              </w:rPr>
            </w:pPr>
          </w:p>
        </w:tc>
      </w:tr>
      <w:tr>
        <w:tblPrEx>
          <w:tblCellMar>
            <w:top w:w="0" w:type="dxa"/>
            <w:left w:w="108" w:type="dxa"/>
            <w:bottom w:w="0" w:type="dxa"/>
            <w:right w:w="108" w:type="dxa"/>
          </w:tblCellMar>
        </w:tblPrEx>
        <w:trPr>
          <w:trHeight w:val="375" w:hRule="atLeast"/>
          <w:jc w:val="center"/>
        </w:trPr>
        <w:tc>
          <w:tcPr>
            <w:tcW w:w="1062" w:type="dxa"/>
            <w:tcBorders>
              <w:top w:val="nil"/>
              <w:left w:val="nil"/>
              <w:bottom w:val="nil"/>
              <w:right w:val="nil"/>
            </w:tcBorders>
            <w:vAlign w:val="center"/>
          </w:tcPr>
          <w:p>
            <w:pPr>
              <w:rPr>
                <w:rFonts w:asciiTheme="minorEastAsia" w:hAnsiTheme="minorEastAsia" w:eastAsiaTheme="minorEastAsia"/>
                <w:sz w:val="24"/>
              </w:rPr>
            </w:pPr>
          </w:p>
        </w:tc>
        <w:tc>
          <w:tcPr>
            <w:tcW w:w="6361" w:type="dxa"/>
            <w:tcBorders>
              <w:top w:val="nil"/>
              <w:left w:val="nil"/>
              <w:bottom w:val="nil"/>
              <w:right w:val="nil"/>
            </w:tcBorders>
            <w:vAlign w:val="center"/>
          </w:tcPr>
          <w:p>
            <w:pPr>
              <w:spacing w:line="400" w:lineRule="atLeast"/>
              <w:rPr>
                <w:rFonts w:cs="仿宋" w:asciiTheme="minorEastAsia" w:hAnsiTheme="minorEastAsia" w:eastAsiaTheme="minorEastAsia"/>
                <w:sz w:val="24"/>
              </w:rPr>
            </w:pPr>
          </w:p>
        </w:tc>
        <w:tc>
          <w:tcPr>
            <w:tcW w:w="1072" w:type="dxa"/>
            <w:tcBorders>
              <w:top w:val="nil"/>
              <w:left w:val="nil"/>
              <w:bottom w:val="nil"/>
              <w:right w:val="nil"/>
            </w:tcBorders>
            <w:vAlign w:val="center"/>
          </w:tcPr>
          <w:p>
            <w:pPr>
              <w:spacing w:line="400" w:lineRule="atLeast"/>
              <w:jc w:val="center"/>
              <w:rPr>
                <w:rFonts w:cs="仿宋"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84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小学课桌椅</w:t>
            </w:r>
          </w:p>
        </w:tc>
      </w:tr>
      <w:tr>
        <w:tblPrEx>
          <w:tblCellMar>
            <w:top w:w="0" w:type="dxa"/>
            <w:left w:w="108" w:type="dxa"/>
            <w:bottom w:w="0" w:type="dxa"/>
            <w:right w:w="108" w:type="dxa"/>
          </w:tblCellMar>
        </w:tblPrEx>
        <w:trPr>
          <w:trHeight w:val="285" w:hRule="atLeast"/>
          <w:jc w:val="center"/>
        </w:trPr>
        <w:tc>
          <w:tcPr>
            <w:tcW w:w="1062"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6361"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学校（园）名称（与公章一致）</w:t>
            </w:r>
          </w:p>
        </w:tc>
        <w:tc>
          <w:tcPr>
            <w:tcW w:w="1072"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总数</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杭州市余杭区良渚杭行路小学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315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杭州市余杭区良渚实验学校（小学部）</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270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良渚七贤小学 </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810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杭州市余杭区良渚第一小学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810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杭州市余杭区东塘中心小学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600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杭州市余杭区云会小学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855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杭州市余杭区大禹小学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555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杭州市余杭区海辰小学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360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9</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杭州市余杭区瓶窑第二小学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180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10</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杭州市余杭区五常第二小学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1170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杭州市余杭区太炎小学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135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杭州市余杭区未来科技城海创小学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270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杭州市余杭区蔚蓝学校</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70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14</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杭州市余杭区长乐小学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15</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杭州市余杭区潘板小学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620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16</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杭州市余杭区黄湖中心小学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700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17</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杭州市余杭区舟枕小学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540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bCs/>
                <w:sz w:val="24"/>
              </w:rPr>
            </w:pPr>
            <w:r>
              <w:rPr>
                <w:rFonts w:hint="eastAsia" w:cs="仿宋" w:asciiTheme="minorEastAsia" w:hAnsiTheme="minorEastAsia" w:eastAsiaTheme="minorEastAsia"/>
                <w:b/>
                <w:bCs/>
                <w:sz w:val="24"/>
              </w:rPr>
              <w:t>合计</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bCs/>
                <w:sz w:val="24"/>
              </w:rPr>
            </w:pP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bCs/>
                <w:sz w:val="24"/>
              </w:rPr>
            </w:pPr>
            <w:r>
              <w:rPr>
                <w:rFonts w:hint="eastAsia" w:cs="仿宋" w:asciiTheme="minorEastAsia" w:hAnsiTheme="minorEastAsia" w:eastAsiaTheme="minorEastAsia"/>
                <w:b/>
                <w:bCs/>
                <w:sz w:val="24"/>
              </w:rPr>
              <w:t>8310</w:t>
            </w:r>
          </w:p>
        </w:tc>
      </w:tr>
    </w:tbl>
    <w:p>
      <w:pPr>
        <w:ind w:firstLine="482" w:firstLineChars="200"/>
        <w:rPr>
          <w:rFonts w:cs="宋体" w:asciiTheme="minorEastAsia" w:hAnsiTheme="minorEastAsia" w:eastAsiaTheme="minorEastAsia"/>
          <w:b/>
          <w:sz w:val="24"/>
        </w:rPr>
      </w:pPr>
    </w:p>
    <w:p>
      <w:pPr>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手摇式升降课桌椅B款具体清单如下。</w:t>
      </w:r>
    </w:p>
    <w:tbl>
      <w:tblPr>
        <w:tblStyle w:val="62"/>
        <w:tblW w:w="0" w:type="auto"/>
        <w:jc w:val="center"/>
        <w:tblLayout w:type="fixed"/>
        <w:tblCellMar>
          <w:top w:w="0" w:type="dxa"/>
          <w:left w:w="108" w:type="dxa"/>
          <w:bottom w:w="0" w:type="dxa"/>
          <w:right w:w="108" w:type="dxa"/>
        </w:tblCellMar>
      </w:tblPr>
      <w:tblGrid>
        <w:gridCol w:w="1062"/>
        <w:gridCol w:w="6361"/>
        <w:gridCol w:w="1072"/>
      </w:tblGrid>
      <w:tr>
        <w:tblPrEx>
          <w:tblCellMar>
            <w:top w:w="0" w:type="dxa"/>
            <w:left w:w="108" w:type="dxa"/>
            <w:bottom w:w="0" w:type="dxa"/>
            <w:right w:w="108" w:type="dxa"/>
          </w:tblCellMar>
        </w:tblPrEx>
        <w:trPr>
          <w:trHeight w:val="285" w:hRule="atLeast"/>
          <w:jc w:val="center"/>
        </w:trPr>
        <w:tc>
          <w:tcPr>
            <w:tcW w:w="1062" w:type="dxa"/>
            <w:tcBorders>
              <w:top w:val="nil"/>
              <w:left w:val="nil"/>
              <w:bottom w:val="nil"/>
              <w:right w:val="nil"/>
            </w:tcBorders>
            <w:vAlign w:val="center"/>
          </w:tcPr>
          <w:p>
            <w:pPr>
              <w:spacing w:line="400" w:lineRule="atLeast"/>
              <w:rPr>
                <w:rFonts w:cs="仿宋" w:asciiTheme="minorEastAsia" w:hAnsiTheme="minorEastAsia" w:eastAsiaTheme="minorEastAsia"/>
                <w:sz w:val="24"/>
              </w:rPr>
            </w:pPr>
          </w:p>
        </w:tc>
        <w:tc>
          <w:tcPr>
            <w:tcW w:w="6361" w:type="dxa"/>
            <w:tcBorders>
              <w:top w:val="nil"/>
              <w:left w:val="nil"/>
              <w:bottom w:val="nil"/>
              <w:right w:val="nil"/>
            </w:tcBorders>
            <w:vAlign w:val="center"/>
          </w:tcPr>
          <w:p>
            <w:pPr>
              <w:spacing w:line="400" w:lineRule="atLeast"/>
              <w:rPr>
                <w:rFonts w:cs="仿宋" w:asciiTheme="minorEastAsia" w:hAnsiTheme="minorEastAsia" w:eastAsiaTheme="minorEastAsia"/>
                <w:sz w:val="24"/>
              </w:rPr>
            </w:pPr>
          </w:p>
        </w:tc>
        <w:tc>
          <w:tcPr>
            <w:tcW w:w="1072" w:type="dxa"/>
            <w:tcBorders>
              <w:top w:val="nil"/>
              <w:left w:val="nil"/>
              <w:bottom w:val="nil"/>
              <w:right w:val="nil"/>
            </w:tcBorders>
            <w:vAlign w:val="center"/>
          </w:tcPr>
          <w:p>
            <w:pPr>
              <w:spacing w:line="400" w:lineRule="atLeast"/>
              <w:jc w:val="center"/>
              <w:rPr>
                <w:rFonts w:cs="仿宋" w:asciiTheme="minorEastAsia" w:hAnsiTheme="minorEastAsia" w:eastAsiaTheme="minorEastAsia"/>
                <w:sz w:val="24"/>
              </w:rPr>
            </w:pPr>
          </w:p>
        </w:tc>
      </w:tr>
      <w:tr>
        <w:tblPrEx>
          <w:tblCellMar>
            <w:top w:w="0" w:type="dxa"/>
            <w:left w:w="108" w:type="dxa"/>
            <w:bottom w:w="0" w:type="dxa"/>
            <w:right w:w="108" w:type="dxa"/>
          </w:tblCellMar>
        </w:tblPrEx>
        <w:trPr>
          <w:trHeight w:val="285" w:hRule="atLeast"/>
          <w:jc w:val="center"/>
        </w:trPr>
        <w:tc>
          <w:tcPr>
            <w:tcW w:w="84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小学课桌椅</w:t>
            </w:r>
          </w:p>
        </w:tc>
      </w:tr>
      <w:tr>
        <w:tblPrEx>
          <w:tblCellMar>
            <w:top w:w="0" w:type="dxa"/>
            <w:left w:w="108" w:type="dxa"/>
            <w:bottom w:w="0" w:type="dxa"/>
            <w:right w:w="108" w:type="dxa"/>
          </w:tblCellMar>
        </w:tblPrEx>
        <w:trPr>
          <w:trHeight w:val="285" w:hRule="atLeast"/>
          <w:jc w:val="center"/>
        </w:trPr>
        <w:tc>
          <w:tcPr>
            <w:tcW w:w="1062"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6361"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学校（园）名称（与公章一致）</w:t>
            </w:r>
          </w:p>
        </w:tc>
        <w:tc>
          <w:tcPr>
            <w:tcW w:w="1072" w:type="dxa"/>
            <w:tcBorders>
              <w:top w:val="nil"/>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总数</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杭州市余杭区闲林中心小学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180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杭州市余杭区闲林和睦小学（闲林东路校区）</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1000</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杭州市余杭区凤凰小学</w:t>
            </w: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915</w:t>
            </w:r>
          </w:p>
        </w:tc>
      </w:tr>
      <w:tr>
        <w:tblPrEx>
          <w:tblCellMar>
            <w:top w:w="0" w:type="dxa"/>
            <w:left w:w="108" w:type="dxa"/>
            <w:bottom w:w="0" w:type="dxa"/>
            <w:right w:w="108" w:type="dxa"/>
          </w:tblCellMar>
        </w:tblPrEx>
        <w:trPr>
          <w:trHeight w:val="2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bCs/>
                <w:sz w:val="24"/>
              </w:rPr>
            </w:pPr>
            <w:r>
              <w:rPr>
                <w:rFonts w:hint="eastAsia" w:cs="仿宋" w:asciiTheme="minorEastAsia" w:hAnsiTheme="minorEastAsia" w:eastAsiaTheme="minorEastAsia"/>
                <w:b/>
                <w:bCs/>
                <w:sz w:val="24"/>
              </w:rPr>
              <w:t>合计</w:t>
            </w:r>
          </w:p>
        </w:tc>
        <w:tc>
          <w:tcPr>
            <w:tcW w:w="636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cs="仿宋" w:asciiTheme="minorEastAsia" w:hAnsiTheme="minorEastAsia" w:eastAsiaTheme="minorEastAsia"/>
                <w:b/>
                <w:bCs/>
                <w:sz w:val="24"/>
              </w:rPr>
            </w:pPr>
          </w:p>
        </w:tc>
        <w:tc>
          <w:tcPr>
            <w:tcW w:w="1072"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cs="仿宋" w:asciiTheme="minorEastAsia" w:hAnsiTheme="minorEastAsia" w:eastAsiaTheme="minorEastAsia"/>
                <w:b/>
                <w:bCs/>
                <w:sz w:val="24"/>
              </w:rPr>
            </w:pPr>
            <w:r>
              <w:rPr>
                <w:rFonts w:hint="eastAsia" w:cs="仿宋" w:asciiTheme="minorEastAsia" w:hAnsiTheme="minorEastAsia" w:eastAsiaTheme="minorEastAsia"/>
                <w:b/>
                <w:bCs/>
                <w:sz w:val="24"/>
              </w:rPr>
              <w:t>2095</w:t>
            </w:r>
          </w:p>
        </w:tc>
      </w:tr>
    </w:tbl>
    <w:p>
      <w:pPr>
        <w:pStyle w:val="2"/>
        <w:spacing w:line="400" w:lineRule="atLeast"/>
        <w:ind w:left="0" w:firstLine="0"/>
        <w:rPr>
          <w:rFonts w:cs="仿宋" w:asciiTheme="minorEastAsia" w:hAnsiTheme="minorEastAsia" w:eastAsiaTheme="minorEastAsia"/>
          <w:sz w:val="24"/>
          <w:szCs w:val="24"/>
          <w:lang w:val="en-US"/>
        </w:rPr>
      </w:pPr>
      <w:r>
        <w:rPr>
          <w:rFonts w:hint="eastAsia" w:cs="仿宋" w:asciiTheme="minorEastAsia" w:hAnsiTheme="minorEastAsia" w:eastAsiaTheme="minorEastAsia"/>
          <w:sz w:val="24"/>
          <w:szCs w:val="24"/>
          <w:lang w:val="en-US"/>
        </w:rPr>
        <w:t>注：在各标的总数不变的情况下，少数学校可能会因实际需要在数量上有所调整</w:t>
      </w:r>
    </w:p>
    <w:p>
      <w:pPr>
        <w:spacing w:line="360" w:lineRule="auto"/>
        <w:jc w:val="left"/>
        <w:rPr>
          <w:rFonts w:cs="仿宋_GB2312" w:asciiTheme="minorEastAsia" w:hAnsiTheme="minorEastAsia" w:eastAsiaTheme="minorEastAsia"/>
          <w:b/>
          <w:bCs/>
          <w:sz w:val="24"/>
        </w:rPr>
      </w:pPr>
    </w:p>
    <w:p>
      <w:pPr>
        <w:spacing w:line="360" w:lineRule="auto"/>
        <w:jc w:val="left"/>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四、技术规格及要求</w:t>
      </w:r>
    </w:p>
    <w:p>
      <w:pPr>
        <w:rPr>
          <w:rFonts w:cs="仿宋" w:asciiTheme="minorEastAsia" w:hAnsiTheme="minorEastAsia" w:eastAsiaTheme="minorEastAsia"/>
          <w:b/>
          <w:bCs/>
          <w:sz w:val="24"/>
        </w:rPr>
      </w:pPr>
      <w:r>
        <w:rPr>
          <w:rFonts w:hint="eastAsia" w:cs="仿宋" w:asciiTheme="minorEastAsia" w:hAnsiTheme="minorEastAsia" w:eastAsiaTheme="minorEastAsia"/>
          <w:b/>
          <w:bCs/>
          <w:sz w:val="24"/>
        </w:rPr>
        <w:t>4.1</w:t>
      </w:r>
      <w:r>
        <w:rPr>
          <w:rFonts w:hint="eastAsia" w:cs="宋体" w:asciiTheme="minorEastAsia" w:hAnsiTheme="minorEastAsia" w:eastAsiaTheme="minorEastAsia"/>
          <w:b/>
          <w:bCs/>
          <w:snapToGrid w:val="0"/>
          <w:kern w:val="28"/>
          <w:sz w:val="24"/>
        </w:rPr>
        <w:t>手摇式升降课桌椅</w:t>
      </w:r>
      <w:r>
        <w:rPr>
          <w:rFonts w:hint="eastAsia" w:cs="仿宋" w:asciiTheme="minorEastAsia" w:hAnsiTheme="minorEastAsia" w:eastAsiaTheme="minorEastAsia"/>
          <w:b/>
          <w:bCs/>
          <w:sz w:val="24"/>
        </w:rPr>
        <w:t>A款</w:t>
      </w:r>
    </w:p>
    <w:p>
      <w:pPr>
        <w:spacing w:line="40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4.1.1课桌技术参数（手摇式）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桌面尺寸（L×B）</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600mm×400mm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升降高度（H）</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小学：桌面高度调节范围580mm-760mm，调节范围内任意调节，并印有丝网尺寸，精度5mm；</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初中、高中：桌面高度调节范围670mm-790mm，调节范围内任意调节，并印有丝网尺寸，精度5mm；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桌斗尺寸（H1）</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桌斗内侧净空高度：</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小学： 不小于120mm</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初中、高中：不小于130mm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桌面厚度</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桌面厚度不小于20mm。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边缘倒角</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桌面及加工要求</w:t>
            </w:r>
          </w:p>
        </w:tc>
        <w:tc>
          <w:tcPr>
            <w:tcW w:w="7073" w:type="dxa"/>
          </w:tcPr>
          <w:p>
            <w:pPr>
              <w:pStyle w:val="24"/>
              <w:ind w:firstLine="0" w:firstLineChars="0"/>
              <w:rPr>
                <w:rFonts w:cs="宋体" w:asciiTheme="minorEastAsia" w:hAnsiTheme="minorEastAsia" w:eastAsiaTheme="minorEastAsia"/>
              </w:rPr>
            </w:pPr>
            <w:r>
              <w:rPr>
                <w:rFonts w:hint="eastAsia" w:cs="宋体" w:asciiTheme="minorEastAsia" w:hAnsiTheme="minorEastAsia" w:eastAsiaTheme="minorEastAsia"/>
              </w:rPr>
              <w:t>◆桌面采用ABS工程塑料，正前方设有笔槽和流水孔，表面磨砂处理，边缘光滑，具有抗污抗菌效果，桌面下内置2根钢管加固。</w:t>
            </w:r>
          </w:p>
          <w:p>
            <w:pPr>
              <w:pStyle w:val="24"/>
              <w:ind w:firstLine="0" w:firstLineChars="0"/>
              <w:rPr>
                <w:rFonts w:cs="宋体" w:asciiTheme="minorEastAsia" w:hAnsiTheme="minorEastAsia" w:eastAsiaTheme="minorEastAsia"/>
              </w:rPr>
            </w:pPr>
            <w:r>
              <w:rPr>
                <w:rFonts w:hint="eastAsia" w:cs="宋体" w:asciiTheme="minorEastAsia" w:hAnsiTheme="minorEastAsia" w:eastAsiaTheme="minorEastAsia"/>
              </w:rPr>
              <w:t>（特别说明：ABS工程塑料要求为新料。）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b/>
                <w:sz w:val="24"/>
              </w:rPr>
            </w:pPr>
            <w:r>
              <w:rPr>
                <w:rFonts w:hint="eastAsia" w:cs="宋体" w:asciiTheme="minorEastAsia" w:hAnsiTheme="minorEastAsia" w:eastAsiaTheme="minorEastAsia"/>
                <w:sz w:val="24"/>
              </w:rPr>
              <w:t>桌斗材料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◆要求采用</w:t>
            </w:r>
            <w:r>
              <w:rPr>
                <w:rFonts w:hint="eastAsia" w:cs="宋体" w:asciiTheme="minorEastAsia" w:hAnsiTheme="minorEastAsia" w:eastAsiaTheme="minorEastAsia"/>
                <w:sz w:val="24"/>
                <w:lang w:val="zh-CN"/>
              </w:rPr>
              <w:t>冷轧钢板一次成形课</w:t>
            </w:r>
            <w:r>
              <w:rPr>
                <w:rFonts w:hint="eastAsia" w:cs="宋体" w:asciiTheme="minorEastAsia" w:hAnsiTheme="minorEastAsia" w:eastAsiaTheme="minorEastAsia"/>
                <w:sz w:val="24"/>
              </w:rPr>
              <w:t>桌斗</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桌斗底部有菱形加强筋，三边4mm透气孔，</w:t>
            </w:r>
            <w:r>
              <w:rPr>
                <w:rFonts w:hint="eastAsia" w:cs="宋体" w:asciiTheme="minorEastAsia" w:hAnsiTheme="minorEastAsia" w:eastAsiaTheme="minorEastAsia"/>
                <w:sz w:val="24"/>
                <w:lang w:val="zh-CN"/>
              </w:rPr>
              <w:t>冷轧钢板</w:t>
            </w:r>
            <w:r>
              <w:rPr>
                <w:rFonts w:hint="eastAsia" w:cs="宋体" w:asciiTheme="minorEastAsia" w:hAnsiTheme="minorEastAsia" w:eastAsiaTheme="minorEastAsia"/>
                <w:sz w:val="24"/>
              </w:rPr>
              <w:t>材料厚度不小于0.8mm。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桌斗封边</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冷轧板外露界面必须卷边处理，卷边直径不小于9mm。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桌脚材质</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金属椭圆管，外管和着地横梁截面尺寸不小于54mm×24mm，壁厚不小于1.2mm；着地横梁两端配置塑料外套，套内设置一个可调节高度为10mm的手动轮，宽面着地（平稳安全）；内管截面尺寸不小于49mm×20mm。着地横梁柱穿孔焊接，上管壁满焊，下管壁必须点焊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升降齿轮材质</w:t>
            </w:r>
          </w:p>
        </w:tc>
        <w:tc>
          <w:tcPr>
            <w:tcW w:w="7073" w:type="dxa"/>
            <w:vAlign w:val="center"/>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采用性能稳定的金属材质。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桌脚脚套</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尼龙或橡胶材料，材料厚度不小于1.5mm，内置倒扣或加螺丝固定，在外拉力1000N下，不脱落。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桌斗挂钩</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◆课桌至少一侧安装金属材质挂钩，挂钩挂重物的垂直静承载力不小于500N。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书包架位置</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课桌下方设置书包架， 书包架尺寸应符合学生正常坐姿使用要求。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材料为金属网格，网格采用钢丝直径不小于3mm，主材钢丝直径不小于6mm，网孔尺寸不大于50mm×50mm。</w:t>
            </w:r>
          </w:p>
        </w:tc>
      </w:tr>
    </w:tbl>
    <w:p>
      <w:pPr>
        <w:spacing w:line="40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4.1.2课椅技术参数（手摇式）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椅面尺寸（</w:t>
            </w:r>
            <w:r>
              <w:rPr>
                <w:rFonts w:hint="eastAsia" w:cs="宋体" w:asciiTheme="minorEastAsia" w:hAnsiTheme="minorEastAsia" w:eastAsiaTheme="minorEastAsia"/>
                <w:i/>
                <w:sz w:val="24"/>
              </w:rPr>
              <w:t>L×B</w:t>
            </w:r>
            <w:r>
              <w:rPr>
                <w:rFonts w:hint="eastAsia" w:cs="宋体" w:asciiTheme="minorEastAsia" w:hAnsiTheme="minorEastAsia" w:eastAsiaTheme="minorEastAsia"/>
                <w:sz w:val="24"/>
              </w:rPr>
              <w:t>）</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初中、高中座面尺寸不小于360mm×380mm，小学座面尺寸不小于320mm×340mm。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升降高度（</w:t>
            </w:r>
            <w:r>
              <w:rPr>
                <w:rFonts w:hint="eastAsia" w:cs="宋体" w:asciiTheme="minorEastAsia" w:hAnsiTheme="minorEastAsia" w:eastAsiaTheme="minorEastAsia"/>
                <w:i/>
                <w:sz w:val="24"/>
              </w:rPr>
              <w:t>H</w:t>
            </w:r>
            <w:r>
              <w:rPr>
                <w:rFonts w:hint="eastAsia" w:cs="宋体" w:asciiTheme="minorEastAsia" w:hAnsiTheme="minorEastAsia" w:eastAsiaTheme="minorEastAsia"/>
                <w:sz w:val="24"/>
              </w:rPr>
              <w:t>）</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（单位mm）</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课椅升降高度：</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小学：椅面高度调节范围320-440mm，调节范围以内任意调节，并印有丝网尺寸，精度5mm；</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初中、高中：椅面高度调节范围380mm-460mm，调节范围以内任意调节，并印有丝网尺寸，精度5mm。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椅面和椅背材料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◆HDPE中空吹塑原料（镂空），椅座布置小细孔便于透气排汗，内置加强筋，结合人体臀型设计，舒适、抗疲劳，椅背正面布置内凹加强筋，结合人体背部设计，有曲线弧度，靠背带拉手。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椅面和椅背厚度</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椅面厚度前面不小于28mm，后面不小于25mm</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椅背两边不小于40mm，中间不小于20mm。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椅脚材料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金属椭圆管，外管和着地横梁截面尺寸不小于54mm×24mm，壁厚1.2mm（正负0.1mm）着地横梁两端配置塑料外套，宽面着地（平稳安全）；内管截面尺寸不小于49mm×20mm。着地横梁柱穿孔焊接，上管壁满焊，下管壁必须点焊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升降齿轮材质</w:t>
            </w:r>
          </w:p>
        </w:tc>
        <w:tc>
          <w:tcPr>
            <w:tcW w:w="7073" w:type="dxa"/>
            <w:vAlign w:val="center"/>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采用性能稳定的金属材质。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椅脚脚套</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尼龙或橡胶材料，材料厚度不小于1.5mm，内置倒扣或螺丝固定，在外拉力1000N下，不脱落。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书包架位置</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课椅下方设置书包架， 书包架尺寸应符合学生正常坐姿使用要求。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材料为金属网格，网格采用钢丝直径不小于3mm，主材钢丝直径不小于6mm，网孔尺寸不大于50mm×50mm。</w:t>
            </w:r>
          </w:p>
        </w:tc>
      </w:tr>
    </w:tbl>
    <w:p>
      <w:pPr>
        <w:spacing w:line="400" w:lineRule="atLeast"/>
        <w:rPr>
          <w:rFonts w:cs="仿宋" w:asciiTheme="minorEastAsia" w:hAnsiTheme="minorEastAsia" w:eastAsiaTheme="minorEastAsia"/>
          <w:sz w:val="24"/>
        </w:rPr>
      </w:pPr>
      <w:bookmarkStart w:id="31" w:name="_Toc18203"/>
      <w:bookmarkStart w:id="32" w:name="_Toc5041"/>
      <w:bookmarkStart w:id="33" w:name="_Toc3460"/>
      <w:bookmarkStart w:id="34" w:name="_Toc2673432"/>
      <w:bookmarkStart w:id="35" w:name="_Toc18176"/>
    </w:p>
    <w:p>
      <w:pPr>
        <w:rPr>
          <w:rFonts w:asciiTheme="minorEastAsia" w:hAnsiTheme="minorEastAsia" w:eastAsiaTheme="minorEastAsia"/>
          <w:b/>
          <w:bCs/>
          <w:sz w:val="24"/>
        </w:rPr>
      </w:pPr>
      <w:r>
        <w:rPr>
          <w:rFonts w:hint="eastAsia" w:cs="仿宋" w:asciiTheme="minorEastAsia" w:hAnsiTheme="minorEastAsia" w:eastAsiaTheme="minorEastAsia"/>
          <w:b/>
          <w:bCs/>
          <w:sz w:val="24"/>
        </w:rPr>
        <w:t>4.</w:t>
      </w:r>
      <w:bookmarkEnd w:id="31"/>
      <w:bookmarkEnd w:id="32"/>
      <w:bookmarkEnd w:id="33"/>
      <w:bookmarkEnd w:id="34"/>
      <w:bookmarkEnd w:id="35"/>
      <w:r>
        <w:rPr>
          <w:rFonts w:hint="eastAsia" w:cs="仿宋" w:asciiTheme="minorEastAsia" w:hAnsiTheme="minorEastAsia" w:eastAsiaTheme="minorEastAsia"/>
          <w:b/>
          <w:bCs/>
          <w:sz w:val="24"/>
        </w:rPr>
        <w:t xml:space="preserve">2 </w:t>
      </w:r>
      <w:r>
        <w:rPr>
          <w:rFonts w:hint="eastAsia" w:cs="宋体" w:asciiTheme="minorEastAsia" w:hAnsiTheme="minorEastAsia" w:eastAsiaTheme="minorEastAsia"/>
          <w:b/>
          <w:bCs/>
          <w:snapToGrid w:val="0"/>
          <w:kern w:val="28"/>
          <w:sz w:val="24"/>
        </w:rPr>
        <w:t>手摇式升降课桌椅B款</w:t>
      </w:r>
    </w:p>
    <w:p>
      <w:pPr>
        <w:pStyle w:val="61"/>
        <w:ind w:left="0" w:leftChars="0" w:firstLine="0" w:firstLineChars="0"/>
        <w:rPr>
          <w:rFonts w:asciiTheme="minorEastAsia" w:hAnsiTheme="minorEastAsia" w:eastAsiaTheme="minorEastAsia"/>
          <w:sz w:val="24"/>
        </w:rPr>
      </w:pPr>
    </w:p>
    <w:p>
      <w:pPr>
        <w:spacing w:line="40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4.2.1课桌技术参数（手摇式）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桌面尺寸（L×B）</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600mm×420mm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升降高度（H）</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小学：桌面高度调节范围不小于580mm-800mm，区间220mm以内任意调节，并印有丝网尺寸，精度5mm；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桌面材料及加工要求</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◆基材采用多层板，甲醛含量≤0.025mg/m3，环保达到E</w:t>
            </w:r>
            <w:r>
              <w:rPr>
                <w:rFonts w:hint="eastAsia" w:cs="宋体" w:asciiTheme="minorEastAsia" w:hAnsiTheme="minorEastAsia" w:eastAsiaTheme="minorEastAsia"/>
                <w:sz w:val="24"/>
                <w:vertAlign w:val="subscript"/>
              </w:rPr>
              <w:t>NF</w:t>
            </w:r>
            <w:r>
              <w:rPr>
                <w:rFonts w:hint="eastAsia" w:cs="宋体" w:asciiTheme="minorEastAsia" w:hAnsiTheme="minorEastAsia" w:eastAsiaTheme="minorEastAsia"/>
                <w:sz w:val="24"/>
              </w:rPr>
              <w:t xml:space="preserve">级；表面贴三聚氰胺纸，具有耐污染、耐划痕、耐光色牢度性能，四周采用软塑料改性TPU材料注塑包边，包边厚度不小于6mm，外力作用后能瞬时恢复；软塑包边与桌面齐平，不膈手，安全防撞无锐角。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桌面规格</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桌面材料厚度不小于18mm。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边缘倒角</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课桌椅面板四周倒角半径不小于5mm。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桌斗尺寸（H1）</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桌斗内侧净空高度：小学： 140mm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b/>
                <w:sz w:val="24"/>
              </w:rPr>
            </w:pPr>
            <w:r>
              <w:rPr>
                <w:rFonts w:hint="eastAsia" w:cs="宋体" w:asciiTheme="minorEastAsia" w:hAnsiTheme="minorEastAsia" w:eastAsiaTheme="minorEastAsia"/>
                <w:b/>
                <w:sz w:val="24"/>
              </w:rPr>
              <w:t>桌斗材料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◆要求采用</w:t>
            </w:r>
            <w:r>
              <w:rPr>
                <w:rFonts w:hint="eastAsia" w:cs="宋体" w:asciiTheme="minorEastAsia" w:hAnsiTheme="minorEastAsia" w:eastAsiaTheme="minorEastAsia"/>
                <w:sz w:val="24"/>
                <w:lang w:val="zh-CN"/>
              </w:rPr>
              <w:t>冷轧钢板一次成形课</w:t>
            </w:r>
            <w:r>
              <w:rPr>
                <w:rFonts w:hint="eastAsia" w:cs="宋体" w:asciiTheme="minorEastAsia" w:hAnsiTheme="minorEastAsia" w:eastAsiaTheme="minorEastAsia"/>
                <w:sz w:val="24"/>
              </w:rPr>
              <w:t>桌斗</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桌斗底部有菱形加强筋，三边4mm透气孔，</w:t>
            </w:r>
            <w:r>
              <w:rPr>
                <w:rFonts w:hint="eastAsia" w:cs="宋体" w:asciiTheme="minorEastAsia" w:hAnsiTheme="minorEastAsia" w:eastAsiaTheme="minorEastAsia"/>
                <w:sz w:val="24"/>
                <w:lang w:val="zh-CN"/>
              </w:rPr>
              <w:t>冷轧钢板</w:t>
            </w:r>
            <w:r>
              <w:rPr>
                <w:rFonts w:hint="eastAsia" w:cs="宋体" w:asciiTheme="minorEastAsia" w:hAnsiTheme="minorEastAsia" w:eastAsiaTheme="minorEastAsia"/>
                <w:sz w:val="24"/>
              </w:rPr>
              <w:t>材料厚度不小于0.8mm。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桌斗封边</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冷轧板外露界面必须卷边处理，卷边直径不小于9mm。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桌脚材质</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金属椭圆管，外立柱管尺寸不大于50x30mm椭圆管，壁厚不小于1.2mm，内升降管尺寸不大于40x20mm椭圆管，壁厚不小于1.2mm；着地横梁管尺寸不大于38mm圆管，壁厚不小于1.5mm，着地横梁两端配置塑料外套，套内设置一个可调节高度为10mm的手动轮，宽面着地（平稳安全）；立柱与着地横梁管采用插入式斜口满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升降部件</w:t>
            </w:r>
          </w:p>
        </w:tc>
        <w:tc>
          <w:tcPr>
            <w:tcW w:w="7073" w:type="dxa"/>
            <w:vAlign w:val="center"/>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主要配件采用性能稳定、高强度、耐磨的锌合金压铸，内部齿轮及六棱轴套采用粉末冶金，10年不变形。升降螺杆为中碳钢Ｔ型螺纹，传动螺杆外径不小于12mm。左右两侧锌合金齿轮通过一根外六角转动杆与箱体结合同步驱动，达到平衡升降。升降部件支撑的课桌要求至少承载100KG以上重物。升降调节顺滑、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桌脚脚套</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前脚套长度不小于120mm，后脚套长度不小于90mm，采用pp注塑成型后再二次注塑PPR，脚套落地面为PPR防滑耐磨静音层，可增加对地面的摩擦系数，增加课桌椅的稳定性，脚套与钢管倒卡扣式设计，并用专用螺丝锁定，在外拉力1000N下不脱落，配ABS调整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桌斗挂钩</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课桌至少一侧安装4mm钢筋材质挂钩，挂钩挂重物的垂直静承载力不小于500N。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书包架位置</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课桌下方设置书包架， 书包架尺寸应符合学生正常坐姿使用要求。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书包架材料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材料为金属网格，网格采用钢丝直径不小于3mm，四周采用16*1.2mm圆管加固，网孔尺寸不大于50mm×50mm。</w:t>
            </w:r>
          </w:p>
        </w:tc>
      </w:tr>
    </w:tbl>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4.2.2课椅技术参数（手摇式）</w:t>
      </w:r>
    </w:p>
    <w:tbl>
      <w:tblPr>
        <w:tblStyle w:val="6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椅面尺寸（L×B）</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座面尺寸不小于415mm×400mm，背板尺寸不小于395mm×320mm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升降高度（H）</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（单位mm）</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课椅升降高度：</w:t>
            </w:r>
          </w:p>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小学：椅面高度调节范围不小于320-420mm，区间100mm以内任意调节，并印有丝网尺寸，精度5mm；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椅面和椅背材料及加工要求</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 xml:space="preserve">◆采用优质pp材料一次成型，表面有防滑设计，坐板上下有透气装饰条孔，条孔高度不超过4mm，长度呈不规则条状，背板连接件采用改性TPE注塑成型，卡扣连接后，靠背具有活动性，可随着人体背部前后晃动，完美贴合背部，靠背后有半圆形拉手设计，可提拉椅子及支撑靠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椅脚材料</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采用金属椭圆管，外立柱管尺寸不大于50x30mm椭圆管，壁厚不小于1.2mm，内升降管尺寸不大于40x20mm椭圆管，壁厚不小于1.2mm；着地横梁管尺寸不大于38圆管，壁厚不小于1.5mm，着地横梁两端配置塑料外套，套内设置一个可调节高度为10mm的手动轮，宽面着地（平稳安全）；立柱与着地横梁管采用插入式斜口满焊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升降部件</w:t>
            </w:r>
          </w:p>
        </w:tc>
        <w:tc>
          <w:tcPr>
            <w:tcW w:w="7073" w:type="dxa"/>
            <w:vAlign w:val="center"/>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主要配件采用性能稳定、高强度、耐磨的锌合金压铸，内部齿轮及六棱轴套采用粉末冶金，20年不变形。升降螺杆为中碳钢Ｔ型螺纹，传动螺杆外径不小于12mm。左右两侧锌合金齿轮通过一根外六角转动杆与箱体结合同步驱动，达到平衡升降。升降部件支撑的课椅要求至少承载100KG以上重物。升降调节顺滑、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747"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椅脚脚套</w:t>
            </w:r>
          </w:p>
        </w:tc>
        <w:tc>
          <w:tcPr>
            <w:tcW w:w="7073" w:type="dxa"/>
          </w:tcPr>
          <w:p>
            <w:pPr>
              <w:spacing w:line="400" w:lineRule="atLeast"/>
              <w:rPr>
                <w:rFonts w:cs="宋体" w:asciiTheme="minorEastAsia" w:hAnsiTheme="minorEastAsia" w:eastAsiaTheme="minorEastAsia"/>
                <w:sz w:val="24"/>
              </w:rPr>
            </w:pPr>
            <w:r>
              <w:rPr>
                <w:rFonts w:hint="eastAsia" w:cs="宋体" w:asciiTheme="minorEastAsia" w:hAnsiTheme="minorEastAsia" w:eastAsiaTheme="minorEastAsia"/>
                <w:sz w:val="24"/>
              </w:rPr>
              <w:t>◆前脚套长度不小于120mm，后脚套长度不小于90mm，采用pp注塑成型后再二次注塑PPR，脚套落地面为PPR防滑耐磨静音层，可增加对地面的摩擦系数，增加课桌椅的稳定性，脚套与钢管倒卡扣式设计，并用专用螺丝锁定，在外拉力1000N下不脱落，配ABS调整螺丝。</w:t>
            </w:r>
          </w:p>
        </w:tc>
      </w:tr>
    </w:tbl>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4.3其他技术要求</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4.3.1钢制件采用二氧化碳等有效保护方式焊接，表面经酸洗、脱脂、磷化等初级处理后再打沙处理、采用纯聚酯粉末喷涂，最后表面处理。</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4.3.2桌面、书斗、椅面和椅背能反复拆卸和组装，重新组装时固定孔、连接件和连接强度应不变。</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 xml:space="preserve">4.3.3每45套课桌椅配5套升降调整专业工具。每45套课桌椅额外配10套课桌椅脚套。 </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4.3.4课桌椅上外露的手摇调节孔建议8mm，需要有保护塞。</w:t>
      </w:r>
    </w:p>
    <w:p>
      <w:pPr>
        <w:pStyle w:val="24"/>
        <w:spacing w:line="360" w:lineRule="auto"/>
        <w:rPr>
          <w:rFonts w:asciiTheme="minorEastAsia" w:hAnsiTheme="minorEastAsia" w:eastAsiaTheme="minorEastAsia"/>
        </w:rPr>
      </w:pPr>
      <w:r>
        <w:rPr>
          <w:rFonts w:hint="eastAsia" w:asciiTheme="minorEastAsia" w:hAnsiTheme="minorEastAsia" w:eastAsiaTheme="minorEastAsia"/>
        </w:rPr>
        <w:t>4.3.5课桌椅具有便捷性。课椅的便捷性是指学校实际使用过程中需搬动（学生打扫卫生或集会）课椅，投标人在确保满足招标文件要求和使用安全的前提下，应切实从学校实际使用考虑，提升生产工艺，注重课椅的便捷性。</w:t>
      </w:r>
    </w:p>
    <w:p>
      <w:pPr>
        <w:spacing w:line="360" w:lineRule="auto"/>
        <w:jc w:val="left"/>
        <w:rPr>
          <w:rFonts w:cs="仿宋_GB2312" w:asciiTheme="minorEastAsia" w:hAnsiTheme="minorEastAsia" w:eastAsiaTheme="minorEastAsia"/>
          <w:b/>
          <w:bCs/>
          <w:sz w:val="24"/>
        </w:rPr>
      </w:pPr>
    </w:p>
    <w:p>
      <w:pPr>
        <w:spacing w:line="360" w:lineRule="auto"/>
        <w:jc w:val="left"/>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五、样品制作要求</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投标时样品课桌椅均需钢管刻字，内容包含：生产厂家名称、</w:t>
      </w:r>
      <w:r>
        <w:rPr>
          <w:rFonts w:hint="eastAsia" w:cs="仿宋" w:asciiTheme="minorEastAsia" w:hAnsiTheme="minorEastAsia" w:eastAsiaTheme="minorEastAsia"/>
          <w:sz w:val="24"/>
          <w:lang w:val="zh-CN"/>
        </w:rPr>
        <w:t>型号</w:t>
      </w:r>
      <w:r>
        <w:rPr>
          <w:rFonts w:hint="eastAsia" w:cs="仿宋" w:asciiTheme="minorEastAsia" w:hAnsiTheme="minorEastAsia" w:eastAsiaTheme="minorEastAsia"/>
          <w:sz w:val="24"/>
        </w:rPr>
        <w:t>、生产年月</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内容统一，见下表</w:t>
      </w:r>
      <w:r>
        <w:rPr>
          <w:rFonts w:hint="eastAsia" w:cs="仿宋" w:asciiTheme="minorEastAsia" w:hAnsiTheme="minorEastAsia" w:eastAsiaTheme="minorEastAsia"/>
          <w:sz w:val="24"/>
          <w:lang w:val="zh-CN"/>
        </w:rPr>
        <w:t>；</w:t>
      </w:r>
      <w:r>
        <w:rPr>
          <w:rFonts w:hint="eastAsia" w:cs="仿宋" w:asciiTheme="minorEastAsia" w:hAnsiTheme="minorEastAsia" w:eastAsiaTheme="minorEastAsia"/>
          <w:sz w:val="24"/>
        </w:rPr>
        <w:t>位置为桌脚、椅脚外管的外侧面。中标后，按照中标方的实际信息制作。</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钢字刻印统一内容：</w:t>
      </w: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130"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生产厂家</w:t>
            </w:r>
          </w:p>
        </w:tc>
        <w:tc>
          <w:tcPr>
            <w:tcW w:w="2130"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课桌椅生产厂家</w:t>
            </w:r>
          </w:p>
        </w:tc>
        <w:tc>
          <w:tcPr>
            <w:tcW w:w="213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生产日期</w:t>
            </w:r>
          </w:p>
        </w:tc>
        <w:tc>
          <w:tcPr>
            <w:tcW w:w="213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某年某月某日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130"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课桌型号</w:t>
            </w:r>
          </w:p>
        </w:tc>
        <w:tc>
          <w:tcPr>
            <w:tcW w:w="2130"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KZ-001</w:t>
            </w:r>
          </w:p>
        </w:tc>
        <w:tc>
          <w:tcPr>
            <w:tcW w:w="213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课椅型号</w:t>
            </w:r>
          </w:p>
        </w:tc>
        <w:tc>
          <w:tcPr>
            <w:tcW w:w="2131" w:type="dxa"/>
            <w:vAlign w:val="center"/>
          </w:tcPr>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KY-001</w:t>
            </w:r>
          </w:p>
        </w:tc>
      </w:tr>
    </w:tbl>
    <w:p>
      <w:pPr>
        <w:spacing w:line="360" w:lineRule="auto"/>
        <w:rPr>
          <w:rFonts w:cs="仿宋" w:asciiTheme="minorEastAsia" w:hAnsiTheme="minorEastAsia" w:eastAsiaTheme="minorEastAsia"/>
          <w:b/>
          <w:sz w:val="24"/>
        </w:rPr>
      </w:pPr>
      <w:r>
        <w:rPr>
          <w:rFonts w:hint="eastAsia" w:cs="仿宋" w:asciiTheme="minorEastAsia" w:hAnsiTheme="minorEastAsia" w:eastAsiaTheme="minorEastAsia"/>
          <w:b/>
          <w:sz w:val="24"/>
        </w:rPr>
        <w:t>注：所提供的样品上，不得出现能代表投标人和品牌的名称、标志、文字、图案、LOGO等所有暗示性内容，否则视为无效投标。</w:t>
      </w:r>
    </w:p>
    <w:p>
      <w:pPr>
        <w:spacing w:line="360" w:lineRule="auto"/>
        <w:ind w:firstLine="240" w:firstLineChars="100"/>
        <w:jc w:val="left"/>
        <w:rPr>
          <w:rFonts w:cs="宋体" w:asciiTheme="minorEastAsia" w:hAnsiTheme="minorEastAsia" w:eastAsiaTheme="minorEastAsia"/>
          <w:sz w:val="24"/>
        </w:rPr>
      </w:pPr>
    </w:p>
    <w:p>
      <w:pPr>
        <w:spacing w:line="360" w:lineRule="auto"/>
        <w:jc w:val="left"/>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六、成品、原材料检测报告</w:t>
      </w:r>
    </w:p>
    <w:p>
      <w:pPr>
        <w:pStyle w:val="24"/>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1．手摇升降课桌椅成品：依据QB/T 4071-2021、GB/T 35607-2017、GB 28481-2012、GB/T 38794-2020、GB/T 229-2020标准的抽样检测报告，包含金属件外观、塑料件外观等外观性能、产品表面涂饰层/覆面材料理化性能、产品寿命、产品有害物质、冲击试验，并提供检测报告。</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2．塑料桌面板：依据GB/T 32487-2016、GB 28481-2012、SN/T 1877.2-2007、GB20286-2006标准的抽样检测报告，其中苯并[α]芘≤1.0mg/kg，重金属（可溶性铅、可溶性隔、可溶性铬、可溶性汞）未检出，塑料件耐热冷循环应无裂纹、鼓泡、变色、起皱；硬度≥HD75，烟密度等级（SDR）≤75，燃烧性能达到阻燃1级，并提供检测报告。</w:t>
      </w:r>
      <w:r>
        <w:rPr>
          <w:rFonts w:hint="eastAsia" w:asciiTheme="minorEastAsia" w:hAnsiTheme="minorEastAsia" w:eastAsiaTheme="minorEastAsia"/>
          <w:sz w:val="24"/>
        </w:rPr>
        <w:tab/>
      </w:r>
    </w:p>
    <w:p>
      <w:pPr>
        <w:pStyle w:val="24"/>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3．饰面多层板：按照GB/T 39600-2021、GB/T18101-2013标准要求，甲醛释放量达到ENF级别≤0.025mg/m3, 燃烧性能达到难燃B1-B级，并提供检测报告。</w:t>
      </w:r>
    </w:p>
    <w:p>
      <w:pPr>
        <w:pStyle w:val="24"/>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4．塑料座靠板、脚套：按照GB/T32487-2016、GB20286-2006、SN/T 1877.2-2007标准要求，</w:t>
      </w:r>
      <w:r>
        <w:rPr>
          <w:rFonts w:hint="eastAsia" w:asciiTheme="minorEastAsia" w:hAnsiTheme="minorEastAsia" w:eastAsiaTheme="minorEastAsia"/>
          <w:lang w:eastAsia="zh-CN"/>
        </w:rPr>
        <w:t>其中</w:t>
      </w:r>
      <w:r>
        <w:rPr>
          <w:rFonts w:hint="eastAsia" w:asciiTheme="minorEastAsia" w:hAnsiTheme="minorEastAsia" w:eastAsiaTheme="minorEastAsia"/>
        </w:rPr>
        <w:t>苯并[α]芘≤1.0mg/kg，耐老化性、有害物质（包括邻苯二甲酸酯、重金属、多环芳烃、多溴联苯、多溴二苯醚）符合标准要求，阻燃性能等级达到阻燃1级，并提供检测报告。</w:t>
      </w:r>
    </w:p>
    <w:p>
      <w:pPr>
        <w:pStyle w:val="24"/>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5．钢管、钢板：按照GB/T 10125-2021检测方法，要求200h中性盐雾检测合格，并提供检测报告。</w:t>
      </w:r>
    </w:p>
    <w:p>
      <w:pPr>
        <w:pStyle w:val="24"/>
        <w:spacing w:line="360" w:lineRule="auto"/>
        <w:ind w:firstLine="240" w:firstLineChars="100"/>
        <w:rPr>
          <w:rFonts w:asciiTheme="minorEastAsia" w:hAnsiTheme="minorEastAsia" w:eastAsiaTheme="minorEastAsia"/>
        </w:rPr>
      </w:pPr>
      <w:r>
        <w:rPr>
          <w:rFonts w:hint="eastAsia" w:asciiTheme="minorEastAsia" w:hAnsiTheme="minorEastAsia" w:eastAsiaTheme="minorEastAsia"/>
        </w:rPr>
        <w:t>6．塑粉：按照GB 28481-2012，邻苯二甲酸酯、重金属、多环芳烃、多溴联苯、多溴二苯醚符合标准要求，并提供检测报告。</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7．手摇升降杆：按照GB/T3325-2017标准，抗盐雾符合标准要求，并提供检测报告。</w:t>
      </w:r>
    </w:p>
    <w:p>
      <w:pPr>
        <w:spacing w:line="360" w:lineRule="auto"/>
        <w:jc w:val="left"/>
        <w:rPr>
          <w:rFonts w:cs="仿宋_GB2312" w:asciiTheme="minorEastAsia" w:hAnsiTheme="minorEastAsia" w:eastAsiaTheme="minorEastAsia"/>
          <w:b/>
          <w:bCs/>
          <w:sz w:val="24"/>
        </w:rPr>
      </w:pPr>
    </w:p>
    <w:p>
      <w:pPr>
        <w:spacing w:line="360" w:lineRule="auto"/>
        <w:jc w:val="left"/>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七、商务要求</w:t>
      </w:r>
    </w:p>
    <w:p>
      <w:pPr>
        <w:spacing w:line="360" w:lineRule="auto"/>
        <w:ind w:left="210" w:left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1.交付（实施）的时间（期限）：</w:t>
      </w:r>
      <w:r>
        <w:rPr>
          <w:rFonts w:hint="eastAsia" w:cs="宋体" w:asciiTheme="minorEastAsia" w:hAnsiTheme="minorEastAsia" w:eastAsiaTheme="minorEastAsia"/>
          <w:sz w:val="24"/>
          <w:u w:val="single"/>
        </w:rPr>
        <w:t xml:space="preserve"> 原则上2023年7月31日前完成供货、安装调试及学校初步验收。具体安装时间可与学校协商，但不得影响学校正常教学使用。 </w:t>
      </w:r>
    </w:p>
    <w:p>
      <w:pPr>
        <w:spacing w:line="360" w:lineRule="auto"/>
        <w:ind w:left="210" w:left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2.交付（实施）的地点（范围）：</w:t>
      </w:r>
      <w:r>
        <w:rPr>
          <w:rFonts w:hint="eastAsia" w:cs="宋体" w:asciiTheme="minorEastAsia" w:hAnsiTheme="minorEastAsia" w:eastAsiaTheme="minorEastAsia"/>
          <w:sz w:val="24"/>
          <w:u w:val="single"/>
        </w:rPr>
        <w:t>余杭区内各学校，具体详见学校需求汇总表</w:t>
      </w:r>
      <w:r>
        <w:rPr>
          <w:rFonts w:hint="eastAsia" w:cs="宋体" w:asciiTheme="minorEastAsia" w:hAnsiTheme="minorEastAsia" w:eastAsiaTheme="minorEastAsia"/>
          <w:sz w:val="24"/>
        </w:rPr>
        <w:t xml:space="preserve">。    </w:t>
      </w:r>
    </w:p>
    <w:p>
      <w:pPr>
        <w:spacing w:line="360" w:lineRule="auto"/>
        <w:ind w:left="210" w:left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3.付款条件（进度和方式）</w:t>
      </w:r>
    </w:p>
    <w:tbl>
      <w:tblPr>
        <w:tblStyle w:val="62"/>
        <w:tblW w:w="8285" w:type="dxa"/>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763"/>
        <w:gridCol w:w="1884"/>
        <w:gridCol w:w="563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763"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8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付款比例（%）</w:t>
            </w:r>
          </w:p>
        </w:tc>
        <w:tc>
          <w:tcPr>
            <w:tcW w:w="5638"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662" w:hRule="atLeast"/>
        </w:trPr>
        <w:tc>
          <w:tcPr>
            <w:tcW w:w="763"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合同金额50%</w:t>
            </w:r>
          </w:p>
        </w:tc>
        <w:tc>
          <w:tcPr>
            <w:tcW w:w="5638" w:type="dxa"/>
            <w:vAlign w:val="center"/>
          </w:tcPr>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《2023年度余杭区教育系统课桌椅规模化采购项目供货协议》签订生效及具备实施条件后7个工作日内，向中标单位支付合同金额50％的预付款。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763"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84"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合同金额50%</w:t>
            </w:r>
          </w:p>
        </w:tc>
        <w:tc>
          <w:tcPr>
            <w:tcW w:w="5638" w:type="dxa"/>
            <w:vAlign w:val="center"/>
          </w:tcPr>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中标单位向采购人提供有效发票且最终验收合格后，采购人向中标单位支付剩余货款（合同金额50％）。</w:t>
            </w:r>
          </w:p>
        </w:tc>
      </w:tr>
    </w:tbl>
    <w:p>
      <w:pPr>
        <w:spacing w:line="360" w:lineRule="auto"/>
        <w:ind w:left="210" w:left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4.履约保证金：</w:t>
      </w:r>
    </w:p>
    <w:p>
      <w:pPr>
        <w:spacing w:line="360" w:lineRule="auto"/>
        <w:ind w:left="210" w:leftChars="100"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合同生效后7个工作日内中标单位向采购单位交纳不超过合同金额的1%的履约保证金。履约保证金可以以保函形式提交。</w:t>
      </w:r>
    </w:p>
    <w:p>
      <w:pPr>
        <w:spacing w:line="360" w:lineRule="auto"/>
        <w:ind w:firstLine="240" w:firstLine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5.售后服务要求</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▲5.1产品验收合格使用之日起，原厂质保期六年，质保期内的维修费用（包括材料）全部由中标单位负责，因人为因素出现的故障不在免费保修范围内。超过质保期的，修时只收部件成本费。</w:t>
      </w:r>
    </w:p>
    <w:p>
      <w:pPr>
        <w:spacing w:line="360" w:lineRule="auto"/>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5.2中标单位必须对所供课桌椅实行终身维修，中标单位在接到电话后2小时内响应，6小时内到达现场解决问题，最迟在2个工作日内修复，如不能修复应采取补救措施，以保证使用方的正常工作，中标单位有其它服务承诺的，一并履行。在质保期内中标单位不得以任何理由影响正常使用。</w:t>
      </w:r>
    </w:p>
    <w:p>
      <w:pPr>
        <w:spacing w:line="360" w:lineRule="auto"/>
        <w:jc w:val="left"/>
        <w:rPr>
          <w:rFonts w:cs="宋体" w:asciiTheme="minorEastAsia" w:hAnsiTheme="minorEastAsia" w:eastAsiaTheme="minorEastAsia"/>
          <w:b/>
          <w:sz w:val="24"/>
        </w:rPr>
      </w:pPr>
    </w:p>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b/>
          <w:sz w:val="24"/>
        </w:rPr>
        <w:t>八、</w:t>
      </w:r>
      <w:r>
        <w:rPr>
          <w:rFonts w:hint="eastAsia" w:cs="仿宋_GB2312" w:asciiTheme="minorEastAsia" w:hAnsiTheme="minorEastAsia" w:eastAsiaTheme="minorEastAsia"/>
          <w:b/>
          <w:bCs/>
          <w:sz w:val="24"/>
        </w:rPr>
        <w:t>方案要求</w:t>
      </w:r>
    </w:p>
    <w:p>
      <w:pPr>
        <w:spacing w:line="360" w:lineRule="auto"/>
        <w:ind w:firstLine="240" w:firstLineChars="100"/>
        <w:jc w:val="left"/>
        <w:rPr>
          <w:rFonts w:cs="宋体" w:asciiTheme="minorEastAsia" w:hAnsiTheme="minorEastAsia" w:eastAsiaTheme="minorEastAsia"/>
          <w:sz w:val="24"/>
        </w:rPr>
      </w:pPr>
      <w:r>
        <w:rPr>
          <w:rFonts w:hint="eastAsia" w:cs="宋体" w:asciiTheme="minorEastAsia" w:hAnsiTheme="minorEastAsia" w:eastAsiaTheme="minorEastAsia"/>
          <w:sz w:val="24"/>
        </w:rPr>
        <w:t>1.项目实施规划方案</w:t>
      </w:r>
    </w:p>
    <w:p>
      <w:pPr>
        <w:pStyle w:val="24"/>
        <w:spacing w:line="360" w:lineRule="auto"/>
        <w:ind w:firstLine="240" w:firstLineChars="100"/>
        <w:rPr>
          <w:rFonts w:cs="宋体" w:asciiTheme="minorEastAsia" w:hAnsiTheme="minorEastAsia" w:eastAsiaTheme="minorEastAsia"/>
        </w:rPr>
      </w:pPr>
      <w:r>
        <w:rPr>
          <w:rFonts w:hint="eastAsia" w:cs="宋体" w:asciiTheme="minorEastAsia" w:hAnsiTheme="minorEastAsia" w:eastAsiaTheme="minorEastAsia"/>
        </w:rPr>
        <w:t>2.生产实施方案</w:t>
      </w:r>
    </w:p>
    <w:p>
      <w:pPr>
        <w:pStyle w:val="24"/>
        <w:spacing w:line="360" w:lineRule="auto"/>
        <w:ind w:firstLine="240" w:firstLineChars="100"/>
        <w:rPr>
          <w:rFonts w:cs="宋体" w:asciiTheme="minorEastAsia" w:hAnsiTheme="minorEastAsia" w:eastAsiaTheme="minorEastAsia"/>
        </w:rPr>
      </w:pPr>
      <w:r>
        <w:rPr>
          <w:rFonts w:hint="eastAsia" w:cs="宋体" w:asciiTheme="minorEastAsia" w:hAnsiTheme="minorEastAsia" w:eastAsiaTheme="minorEastAsia"/>
        </w:rPr>
        <w:t>3.品质管理管控方案</w:t>
      </w:r>
    </w:p>
    <w:p>
      <w:pPr>
        <w:pStyle w:val="24"/>
        <w:spacing w:line="360" w:lineRule="auto"/>
        <w:ind w:firstLine="240" w:firstLineChars="100"/>
        <w:rPr>
          <w:rFonts w:cs="宋体" w:asciiTheme="minorEastAsia" w:hAnsiTheme="minorEastAsia" w:eastAsiaTheme="minorEastAsia"/>
        </w:rPr>
      </w:pPr>
      <w:r>
        <w:rPr>
          <w:rFonts w:hint="eastAsia" w:cs="宋体" w:asciiTheme="minorEastAsia" w:hAnsiTheme="minorEastAsia" w:eastAsiaTheme="minorEastAsia"/>
        </w:rPr>
        <w:t>4.安装服务实施方案</w:t>
      </w:r>
    </w:p>
    <w:p>
      <w:pPr>
        <w:pStyle w:val="24"/>
        <w:spacing w:line="360" w:lineRule="auto"/>
        <w:ind w:firstLine="240" w:firstLineChars="100"/>
        <w:rPr>
          <w:rFonts w:cs="宋体" w:asciiTheme="minorEastAsia" w:hAnsiTheme="minorEastAsia" w:eastAsiaTheme="minorEastAsia"/>
        </w:rPr>
      </w:pPr>
      <w:r>
        <w:rPr>
          <w:rFonts w:hint="eastAsia" w:cs="宋体" w:asciiTheme="minorEastAsia" w:hAnsiTheme="minorEastAsia" w:eastAsiaTheme="minorEastAsia"/>
        </w:rPr>
        <w:t>5.验收方案</w:t>
      </w:r>
    </w:p>
    <w:p>
      <w:pPr>
        <w:pStyle w:val="24"/>
        <w:spacing w:line="360" w:lineRule="auto"/>
        <w:ind w:firstLine="240" w:firstLineChars="100"/>
        <w:rPr>
          <w:rFonts w:cs="宋体" w:asciiTheme="minorEastAsia" w:hAnsiTheme="minorEastAsia" w:eastAsiaTheme="minorEastAsia"/>
        </w:rPr>
      </w:pPr>
      <w:r>
        <w:rPr>
          <w:rFonts w:hint="eastAsia" w:cs="宋体" w:asciiTheme="minorEastAsia" w:hAnsiTheme="minorEastAsia" w:eastAsiaTheme="minorEastAsia"/>
        </w:rPr>
        <w:t>6.售后服务方案</w:t>
      </w:r>
    </w:p>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p>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九、设备到货、安装、调试</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1.到货</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设备到达现场后，中标单位必须派员到现场与使用人一起开箱检验,按供货清单验收,若有缺少或损坏，中标单位应立即补足或更换全新同规格产品，并承担相关费用直至使采购人满意为止。</w:t>
      </w:r>
    </w:p>
    <w:p>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2.安装、调试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为确保安装调试工作安全有序的进行，要求中标单位在货物运抵安装现场前3天内，向采购人提供一份详细的安装、调试验收计划和所采用的标准及方法，现场负责人、工程师和参与安装人员的名单，此计划和采用的标准一旦被采购人确认就不得随意更改，否则中标人应承担相应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2.2设备的安装必须符合有关标准和规范。安装过程中使用人将对设备的安装质量进行监督，安装过程中安全责任由中标单位承担。</w:t>
      </w:r>
    </w:p>
    <w:p>
      <w:pPr>
        <w:spacing w:line="360" w:lineRule="auto"/>
        <w:rPr>
          <w:rFonts w:cs="宋体" w:asciiTheme="minorEastAsia" w:hAnsiTheme="minorEastAsia" w:eastAsiaTheme="minorEastAsia"/>
          <w:b/>
          <w:kern w:val="0"/>
          <w:sz w:val="24"/>
        </w:rPr>
      </w:pPr>
    </w:p>
    <w:p>
      <w:pPr>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十、验收、交付标准和方法</w:t>
      </w:r>
    </w:p>
    <w:p>
      <w:pPr>
        <w:adjustRightInd/>
        <w:spacing w:line="360" w:lineRule="auto"/>
        <w:ind w:left="60" w:right="62" w:firstLine="435"/>
        <w:rPr>
          <w:rFonts w:cs="宋体" w:asciiTheme="minorEastAsia" w:hAnsiTheme="minorEastAsia" w:eastAsiaTheme="minorEastAsia"/>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z w:val="24"/>
        </w:rPr>
        <w:t>供货完成后，组织初验，初验完成后学校先行试用，组织培训并试运行后，最终验收不合格，中标单位整改，由此所产生的所有损失由中标单位承担（包括验收评审费用等）。</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采购人按照余财采〔2020〕14号《关于转发《杭州市政府采购履约验收暂行办法》的通知》规定组织对</w:t>
      </w:r>
      <w:r>
        <w:rPr>
          <w:rFonts w:hint="eastAsia" w:cs="宋体" w:asciiTheme="minorEastAsia" w:hAnsiTheme="minorEastAsia" w:eastAsiaTheme="minorEastAsia"/>
          <w:sz w:val="24"/>
        </w:rPr>
        <w:t>中标单位</w:t>
      </w:r>
      <w:r>
        <w:rPr>
          <w:rFonts w:hint="eastAsia" w:cs="宋体" w:asciiTheme="minorEastAsia" w:hAnsiTheme="minorEastAsia" w:eastAsiaTheme="minorEastAsia"/>
          <w:kern w:val="0"/>
          <w:sz w:val="24"/>
        </w:rPr>
        <w:t>履约的验收。验收方成员应当在验收书上签字，并承担相应的法律责任。如果发现与合同中要求不符，</w:t>
      </w:r>
      <w:r>
        <w:rPr>
          <w:rFonts w:hint="eastAsia" w:cs="宋体" w:asciiTheme="minorEastAsia" w:hAnsiTheme="minorEastAsia" w:eastAsiaTheme="minorEastAsia"/>
          <w:sz w:val="24"/>
        </w:rPr>
        <w:t>中标单位</w:t>
      </w:r>
      <w:r>
        <w:rPr>
          <w:rFonts w:hint="eastAsia" w:cs="宋体" w:asciiTheme="minorEastAsia" w:hAnsiTheme="minorEastAsia" w:eastAsiaTheme="minorEastAsia"/>
          <w:kern w:val="0"/>
          <w:sz w:val="24"/>
        </w:rPr>
        <w:t>须承担由此发生的一切损失和费用，并接受相应的处理。</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2．严格按照采购合同开展履约验收。验收结果与采购合同约定的资金支付及履约保证金返还条件挂钩。履约验收的各项资料应当存档备查。</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验收合格的项目，采购人将根据采购合同的约定及时向中标单位支付采购资金、退还履约保证金（如有）。验收不合格的项目，采购人将依法及时处理。采购合同的履行、违约责任和解决争议的方式等适用《中华人民共和国民法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4．验收产生的费用首次验收费用由采购人承担，如首次验收不合格，后续验收费用由</w:t>
      </w:r>
      <w:r>
        <w:rPr>
          <w:rFonts w:hint="eastAsia" w:cs="宋体" w:asciiTheme="minorEastAsia" w:hAnsiTheme="minorEastAsia" w:eastAsiaTheme="minorEastAsia"/>
          <w:sz w:val="24"/>
        </w:rPr>
        <w:t>中标单位</w:t>
      </w:r>
      <w:r>
        <w:rPr>
          <w:rFonts w:hint="eastAsia" w:cs="宋体" w:asciiTheme="minorEastAsia" w:hAnsiTheme="minorEastAsia" w:eastAsiaTheme="minorEastAsia"/>
          <w:kern w:val="0"/>
          <w:sz w:val="24"/>
        </w:rPr>
        <w:t>支付所有费用。</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5．验收内容及资料要求：</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根据采购文件确定的技术指标或者服务要求确定验收指标和标准。未进行相应约定的，应当符合国家强制性规定、政策要求、安全标准、行业或企业有关标准等。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5.1验收内容</w:t>
      </w:r>
    </w:p>
    <w:tbl>
      <w:tblPr>
        <w:tblStyle w:val="62"/>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669"/>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69"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验收内容</w:t>
            </w:r>
          </w:p>
        </w:tc>
        <w:tc>
          <w:tcPr>
            <w:tcW w:w="6011"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669"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交货产品数量</w:t>
            </w:r>
          </w:p>
        </w:tc>
        <w:tc>
          <w:tcPr>
            <w:tcW w:w="6011"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根据采购人下单情况和实际到货核验清单（需学校核验人、复核人及中标单位三方签字盖章）；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669"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交货产品的质量文件</w:t>
            </w:r>
          </w:p>
        </w:tc>
        <w:tc>
          <w:tcPr>
            <w:tcW w:w="6011"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质量保证书原件、原厂质保承诺函、出厂合格证、第三方检测机构出具的检测报告等；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669"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交货产品技术、性能指标 </w:t>
            </w:r>
          </w:p>
        </w:tc>
        <w:tc>
          <w:tcPr>
            <w:tcW w:w="6011"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交付产品符合合同约定的品牌、型号、参数；</w:t>
            </w:r>
          </w:p>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同时每批次供货产品均须检查，抽查须有学校单位代表在场，并填写产品初验抽查表和现场抽查照片等证明材料进行存档。</w:t>
            </w:r>
          </w:p>
          <w:p>
            <w:pPr>
              <w:tabs>
                <w:tab w:val="left" w:pos="904"/>
              </w:tabs>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上述内容包括隐秘工程的施工影像材料（如有）。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669"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其他技术方案</w:t>
            </w:r>
          </w:p>
        </w:tc>
        <w:tc>
          <w:tcPr>
            <w:tcW w:w="6011" w:type="dxa"/>
            <w:vAlign w:val="center"/>
          </w:tcPr>
          <w:p>
            <w:pPr>
              <w:tabs>
                <w:tab w:val="left" w:pos="904"/>
              </w:tabs>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如施工及设计组织材料。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37" w:type="dxa"/>
            <w:vAlign w:val="center"/>
          </w:tcPr>
          <w:p>
            <w:pPr>
              <w:tabs>
                <w:tab w:val="left" w:pos="904"/>
              </w:tabs>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669"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其他工作</w:t>
            </w:r>
          </w:p>
        </w:tc>
        <w:tc>
          <w:tcPr>
            <w:tcW w:w="6011" w:type="dxa"/>
            <w:vAlign w:val="center"/>
          </w:tcPr>
          <w:p>
            <w:pPr>
              <w:tabs>
                <w:tab w:val="left" w:pos="904"/>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履行项目采购文件、投标文件、合同条款中涉及的其他承诺的情况。 </w:t>
            </w:r>
          </w:p>
        </w:tc>
      </w:tr>
    </w:tbl>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5.2验收资料要求</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验收资料要求包括（不限于）以下内容：</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①采购文件；</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②投标文件；</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③采购合同；</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④产品清单：产品数量、规格、质量证明文件；</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⑤到货核验单（需学校核验人、复核人及中标单位三方签字盖章）、出厂合格证、检测报告、产品说明书、原厂质保函、质量保证书原件、三包凭证、产品拍照图片；</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⑥其他需提供的相关材料（含上述材料及使用方的培训、使用记录及初验报告以及隐秘工程的施工影像材料等，如有。）。</w:t>
      </w:r>
    </w:p>
    <w:p>
      <w:pPr>
        <w:tabs>
          <w:tab w:val="left" w:pos="904"/>
        </w:tabs>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fldChar w:fldCharType="begin"/>
      </w:r>
      <w:r>
        <w:rPr>
          <w:rFonts w:hint="eastAsia" w:cs="宋体" w:asciiTheme="minorEastAsia" w:hAnsiTheme="minorEastAsia" w:eastAsiaTheme="minorEastAsia"/>
          <w:sz w:val="24"/>
        </w:rPr>
        <w:instrText xml:space="preserve"> = 7 \* GB3 \* MERGEFORMAT </w:instrText>
      </w:r>
      <w:r>
        <w:rPr>
          <w:rFonts w:hint="eastAsia" w:cs="宋体" w:asciiTheme="minorEastAsia" w:hAnsiTheme="minorEastAsia" w:eastAsiaTheme="minorEastAsia"/>
          <w:sz w:val="24"/>
        </w:rPr>
        <w:fldChar w:fldCharType="separate"/>
      </w:r>
      <w:r>
        <w:rPr>
          <w:rFonts w:hint="eastAsia" w:cs="宋体" w:asciiTheme="minorEastAsia" w:hAnsiTheme="minorEastAsia" w:eastAsiaTheme="minorEastAsia"/>
          <w:sz w:val="24"/>
        </w:rPr>
        <w:t>⑦</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施工及设计组织材料，履行项目采购文件、投标文件、合同条款中涉及的其他承诺的情况等。</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6．履约验收标准：</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6.1按照采购文件、响应文件及采购合同的约定对每一项技术、服务、安全标准的履约情况进行确认。</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6.2检验验收依据。课桌椅力学性能要求，按照QB/T 4071-2021第5.6条要求，桌面垂直静载荷不小于1000N，桌面垂直耐久性不小于600N、10000次；课桌椅其他安全性能能达到QB/T 4071-2021第5.5条的要求；座椅、桌面面板符合QB/T 4071-2021第5.4条耐污染、耐老化和GB 28481-2012要求；金属材质喷涂层、电镀层按4071-2021第5.4条要求；有害物含量（甲醛释放量、表面涂层有害物质、塑料件有害物质限量）按照QB/T 4071-2021第5.7条：塑粉符合GB 28481-2012要求。</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6.3手摇式单人单斗升降课桌椅中的课桌材料ABS材质、多层板材质将送国家认可具有CMA资质的检测机构检测是否为新料。</w:t>
      </w:r>
    </w:p>
    <w:p>
      <w:pPr>
        <w:tabs>
          <w:tab w:val="left" w:pos="904"/>
        </w:tabs>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履约验收其他事项：验收合格的项目，采购人将根据采购合同的约定及时向中标单位支付采购资金、退还履约保证金。验收不合格的项目，采购人将依法及时处理。采购合同的履行、违约责任和解决争议的方式等适用《中华人民共和国民法典》。</w:t>
      </w:r>
    </w:p>
    <w:p>
      <w:pPr>
        <w:spacing w:line="360" w:lineRule="auto"/>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十一、其他说明</w:t>
      </w:r>
    </w:p>
    <w:p>
      <w:pPr>
        <w:spacing w:line="360" w:lineRule="auto"/>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360" w:lineRule="auto"/>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2.投标价格应包括所有应支付的对专利权、版权、设计或其他因知识产权而需要向其他方支付的税费。</w:t>
      </w:r>
    </w:p>
    <w:p>
      <w:pPr>
        <w:spacing w:line="360" w:lineRule="auto"/>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3.中标单位不得以任何形式将本项目转包给其他单位，否则采购人有权终止合同，所发生的一切损失均由中标单位承担。    </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6" w:name="_Toc184314470"/>
      <w:bookmarkEnd w:id="36"/>
      <w:bookmarkStart w:id="37" w:name="_Toc184314434"/>
      <w:bookmarkEnd w:id="37"/>
      <w:bookmarkStart w:id="38" w:name="_Toc184313273"/>
      <w:bookmarkEnd w:id="38"/>
      <w:bookmarkStart w:id="39" w:name="_Toc184310278"/>
      <w:bookmarkEnd w:id="39"/>
      <w:bookmarkStart w:id="40" w:name="_Toc184314438"/>
      <w:bookmarkEnd w:id="40"/>
      <w:bookmarkStart w:id="41" w:name="_Toc184312084"/>
      <w:bookmarkEnd w:id="41"/>
      <w:bookmarkStart w:id="42" w:name="_Toc184312123"/>
      <w:bookmarkEnd w:id="42"/>
      <w:bookmarkStart w:id="43" w:name="_Toc184314412"/>
      <w:bookmarkEnd w:id="43"/>
      <w:bookmarkStart w:id="44" w:name="_Toc184313246"/>
      <w:bookmarkEnd w:id="44"/>
      <w:bookmarkStart w:id="45" w:name="_Toc184314453"/>
      <w:bookmarkEnd w:id="45"/>
      <w:bookmarkStart w:id="46" w:name="_Toc184312077"/>
      <w:bookmarkEnd w:id="46"/>
      <w:bookmarkStart w:id="47" w:name="_Toc184312082"/>
      <w:bookmarkEnd w:id="47"/>
      <w:bookmarkStart w:id="48" w:name="_Toc184313267"/>
      <w:bookmarkEnd w:id="48"/>
      <w:bookmarkStart w:id="49" w:name="_Toc184312120"/>
      <w:bookmarkEnd w:id="49"/>
      <w:bookmarkStart w:id="50" w:name="_Toc184308061"/>
      <w:bookmarkEnd w:id="50"/>
      <w:bookmarkStart w:id="51" w:name="_Toc184308081"/>
      <w:bookmarkEnd w:id="51"/>
      <w:bookmarkStart w:id="52" w:name="_Toc184314458"/>
      <w:bookmarkEnd w:id="52"/>
      <w:bookmarkStart w:id="53" w:name="_Toc184308091"/>
      <w:bookmarkEnd w:id="53"/>
      <w:bookmarkStart w:id="54" w:name="_Toc184308105"/>
      <w:bookmarkEnd w:id="54"/>
      <w:bookmarkStart w:id="55" w:name="_Toc184314417"/>
      <w:bookmarkEnd w:id="55"/>
      <w:bookmarkStart w:id="56" w:name="_Toc184310326"/>
      <w:bookmarkEnd w:id="56"/>
      <w:bookmarkStart w:id="57" w:name="_Toc184308046"/>
      <w:bookmarkEnd w:id="57"/>
      <w:bookmarkStart w:id="58" w:name="_Toc184312091"/>
      <w:bookmarkEnd w:id="58"/>
      <w:bookmarkStart w:id="59" w:name="_Toc184308038"/>
      <w:bookmarkEnd w:id="59"/>
      <w:bookmarkStart w:id="60" w:name="_Toc184313300"/>
      <w:bookmarkEnd w:id="60"/>
      <w:bookmarkStart w:id="61" w:name="_Toc184310337"/>
      <w:bookmarkEnd w:id="61"/>
      <w:bookmarkStart w:id="62" w:name="_Toc184308083"/>
      <w:bookmarkEnd w:id="62"/>
      <w:bookmarkStart w:id="63" w:name="_Toc184310274"/>
      <w:bookmarkEnd w:id="63"/>
      <w:bookmarkStart w:id="64" w:name="_Toc184314463"/>
      <w:bookmarkEnd w:id="64"/>
      <w:bookmarkStart w:id="65" w:name="_Toc184308085"/>
      <w:bookmarkEnd w:id="65"/>
      <w:bookmarkStart w:id="66" w:name="_Toc184310273"/>
      <w:bookmarkEnd w:id="66"/>
      <w:bookmarkStart w:id="67" w:name="_Toc184312108"/>
      <w:bookmarkEnd w:id="67"/>
      <w:bookmarkStart w:id="68" w:name="_Toc184314454"/>
      <w:bookmarkEnd w:id="68"/>
      <w:bookmarkStart w:id="69" w:name="_Toc184308065"/>
      <w:bookmarkEnd w:id="69"/>
      <w:bookmarkStart w:id="70" w:name="_Toc184314466"/>
      <w:bookmarkEnd w:id="70"/>
      <w:bookmarkStart w:id="71" w:name="_Toc184314459"/>
      <w:bookmarkEnd w:id="71"/>
      <w:bookmarkStart w:id="72" w:name="_Toc184308040"/>
      <w:bookmarkEnd w:id="72"/>
      <w:bookmarkStart w:id="73" w:name="_Toc184313304"/>
      <w:bookmarkEnd w:id="73"/>
      <w:bookmarkStart w:id="74" w:name="_Toc184312132"/>
      <w:bookmarkEnd w:id="74"/>
      <w:bookmarkStart w:id="75" w:name="_Toc184313257"/>
      <w:bookmarkEnd w:id="75"/>
      <w:bookmarkStart w:id="76" w:name="_Toc184313308"/>
      <w:bookmarkEnd w:id="76"/>
      <w:bookmarkStart w:id="77" w:name="_Toc184308103"/>
      <w:bookmarkEnd w:id="77"/>
      <w:bookmarkStart w:id="78" w:name="_Toc184310342"/>
      <w:bookmarkEnd w:id="78"/>
      <w:bookmarkStart w:id="79" w:name="_Toc184310290"/>
      <w:bookmarkEnd w:id="79"/>
      <w:bookmarkStart w:id="80" w:name="_Toc184312097"/>
      <w:bookmarkEnd w:id="80"/>
      <w:bookmarkStart w:id="81" w:name="_Toc184312117"/>
      <w:bookmarkEnd w:id="81"/>
      <w:bookmarkStart w:id="82" w:name="_Toc184310331"/>
      <w:bookmarkEnd w:id="82"/>
      <w:bookmarkStart w:id="83" w:name="_Toc184308043"/>
      <w:bookmarkEnd w:id="83"/>
      <w:bookmarkStart w:id="84" w:name="_Toc184308084"/>
      <w:bookmarkEnd w:id="84"/>
      <w:bookmarkStart w:id="85" w:name="_Toc184312109"/>
      <w:bookmarkEnd w:id="85"/>
      <w:bookmarkStart w:id="86" w:name="_Toc184313303"/>
      <w:bookmarkEnd w:id="86"/>
      <w:bookmarkStart w:id="87" w:name="_Toc184308057"/>
      <w:bookmarkEnd w:id="87"/>
      <w:bookmarkStart w:id="88" w:name="_Toc184310335"/>
      <w:bookmarkEnd w:id="88"/>
      <w:bookmarkStart w:id="89" w:name="_Toc184313281"/>
      <w:bookmarkEnd w:id="89"/>
      <w:bookmarkStart w:id="90" w:name="_Toc184314480"/>
      <w:bookmarkEnd w:id="90"/>
      <w:bookmarkStart w:id="91" w:name="_Toc184312068"/>
      <w:bookmarkEnd w:id="91"/>
      <w:bookmarkStart w:id="92" w:name="_Toc184308064"/>
      <w:bookmarkEnd w:id="92"/>
      <w:bookmarkStart w:id="93" w:name="_Toc184313245"/>
      <w:bookmarkEnd w:id="93"/>
      <w:bookmarkStart w:id="94" w:name="_Toc184310291"/>
      <w:bookmarkEnd w:id="94"/>
      <w:bookmarkStart w:id="95" w:name="_Toc184312088"/>
      <w:bookmarkEnd w:id="95"/>
      <w:bookmarkStart w:id="96" w:name="_Toc184312121"/>
      <w:bookmarkEnd w:id="96"/>
      <w:bookmarkStart w:id="97" w:name="_Toc184312134"/>
      <w:bookmarkEnd w:id="97"/>
      <w:bookmarkStart w:id="98" w:name="_Toc184314479"/>
      <w:bookmarkEnd w:id="98"/>
      <w:bookmarkStart w:id="99" w:name="_Toc184314419"/>
      <w:bookmarkEnd w:id="99"/>
      <w:bookmarkStart w:id="100" w:name="_Toc184308102"/>
      <w:bookmarkEnd w:id="100"/>
      <w:bookmarkStart w:id="101" w:name="_Toc184313310"/>
      <w:bookmarkEnd w:id="101"/>
      <w:bookmarkStart w:id="102" w:name="_Toc184314468"/>
      <w:bookmarkEnd w:id="102"/>
      <w:bookmarkStart w:id="103" w:name="_Toc184308107"/>
      <w:bookmarkEnd w:id="103"/>
      <w:bookmarkStart w:id="104" w:name="_Toc184314413"/>
      <w:bookmarkEnd w:id="104"/>
      <w:bookmarkStart w:id="105" w:name="_Toc184312087"/>
      <w:bookmarkEnd w:id="105"/>
      <w:bookmarkStart w:id="106" w:name="_Toc184312106"/>
      <w:bookmarkEnd w:id="106"/>
      <w:bookmarkStart w:id="107" w:name="_Toc184312083"/>
      <w:bookmarkEnd w:id="107"/>
      <w:bookmarkStart w:id="108" w:name="_Toc184312076"/>
      <w:bookmarkEnd w:id="108"/>
      <w:bookmarkStart w:id="109" w:name="_Toc184312072"/>
      <w:bookmarkEnd w:id="109"/>
      <w:bookmarkStart w:id="110" w:name="_Toc184308088"/>
      <w:bookmarkEnd w:id="110"/>
      <w:bookmarkStart w:id="111" w:name="_Toc184308055"/>
      <w:bookmarkEnd w:id="111"/>
      <w:bookmarkStart w:id="112" w:name="_Toc184313270"/>
      <w:bookmarkEnd w:id="112"/>
      <w:bookmarkStart w:id="113" w:name="_Toc184312135"/>
      <w:bookmarkEnd w:id="113"/>
      <w:bookmarkStart w:id="114" w:name="_Toc184308090"/>
      <w:bookmarkEnd w:id="114"/>
      <w:bookmarkStart w:id="115" w:name="_Toc184310317"/>
      <w:bookmarkEnd w:id="115"/>
      <w:bookmarkStart w:id="116" w:name="_Toc184312094"/>
      <w:bookmarkEnd w:id="116"/>
      <w:bookmarkStart w:id="117" w:name="_Toc184314481"/>
      <w:bookmarkEnd w:id="117"/>
      <w:bookmarkStart w:id="118" w:name="_Toc184314475"/>
      <w:bookmarkEnd w:id="118"/>
      <w:bookmarkStart w:id="119" w:name="_Toc184314439"/>
      <w:bookmarkEnd w:id="119"/>
      <w:bookmarkStart w:id="120" w:name="_Toc184313241"/>
      <w:bookmarkEnd w:id="120"/>
      <w:bookmarkStart w:id="121" w:name="_Toc184310286"/>
      <w:bookmarkEnd w:id="121"/>
      <w:bookmarkStart w:id="122" w:name="_Toc184310322"/>
      <w:bookmarkEnd w:id="122"/>
      <w:bookmarkStart w:id="123" w:name="_Toc184308075"/>
      <w:bookmarkEnd w:id="123"/>
      <w:bookmarkStart w:id="124" w:name="_Toc184308058"/>
      <w:bookmarkEnd w:id="124"/>
      <w:bookmarkStart w:id="125" w:name="_Toc184314435"/>
      <w:bookmarkEnd w:id="125"/>
      <w:bookmarkStart w:id="126" w:name="_Toc184310308"/>
      <w:bookmarkEnd w:id="126"/>
      <w:bookmarkStart w:id="127" w:name="_Toc184313287"/>
      <w:bookmarkEnd w:id="127"/>
      <w:bookmarkStart w:id="128" w:name="_Toc184308051"/>
      <w:bookmarkEnd w:id="128"/>
      <w:bookmarkStart w:id="129" w:name="_Toc184312112"/>
      <w:bookmarkEnd w:id="129"/>
      <w:bookmarkStart w:id="130" w:name="_Toc184312136"/>
      <w:bookmarkEnd w:id="130"/>
      <w:bookmarkStart w:id="131" w:name="_Toc184314476"/>
      <w:bookmarkEnd w:id="131"/>
      <w:bookmarkStart w:id="132" w:name="_Toc184312090"/>
      <w:bookmarkEnd w:id="132"/>
      <w:bookmarkStart w:id="133" w:name="_Toc184313251"/>
      <w:bookmarkEnd w:id="133"/>
      <w:bookmarkStart w:id="134" w:name="_Toc184308104"/>
      <w:bookmarkEnd w:id="134"/>
      <w:bookmarkStart w:id="135" w:name="_Toc184313299"/>
      <w:bookmarkEnd w:id="135"/>
      <w:bookmarkStart w:id="136" w:name="_Toc184310280"/>
      <w:bookmarkEnd w:id="136"/>
      <w:bookmarkStart w:id="137" w:name="_Toc184314443"/>
      <w:bookmarkEnd w:id="137"/>
      <w:bookmarkStart w:id="138" w:name="_Toc184314424"/>
      <w:bookmarkEnd w:id="138"/>
      <w:bookmarkStart w:id="139" w:name="_Toc184314436"/>
      <w:bookmarkEnd w:id="139"/>
      <w:bookmarkStart w:id="140" w:name="_Toc184313298"/>
      <w:bookmarkEnd w:id="140"/>
      <w:bookmarkStart w:id="141" w:name="_Toc184314452"/>
      <w:bookmarkEnd w:id="141"/>
      <w:bookmarkStart w:id="142" w:name="_Toc184314446"/>
      <w:bookmarkEnd w:id="142"/>
      <w:bookmarkStart w:id="143" w:name="_Toc184313293"/>
      <w:bookmarkEnd w:id="143"/>
      <w:bookmarkStart w:id="144" w:name="_Toc184314455"/>
      <w:bookmarkEnd w:id="144"/>
      <w:bookmarkStart w:id="145" w:name="_Toc184312125"/>
      <w:bookmarkEnd w:id="145"/>
      <w:bookmarkStart w:id="146" w:name="_Toc184312114"/>
      <w:bookmarkEnd w:id="146"/>
      <w:bookmarkStart w:id="147" w:name="_Toc184308048"/>
      <w:bookmarkEnd w:id="147"/>
      <w:bookmarkStart w:id="148" w:name="_Toc184308056"/>
      <w:bookmarkEnd w:id="148"/>
      <w:bookmarkStart w:id="149" w:name="_Toc184313248"/>
      <w:bookmarkEnd w:id="149"/>
      <w:bookmarkStart w:id="150" w:name="_Toc184308054"/>
      <w:bookmarkEnd w:id="150"/>
      <w:bookmarkStart w:id="151" w:name="_Toc184312098"/>
      <w:bookmarkEnd w:id="151"/>
      <w:bookmarkStart w:id="152" w:name="_Toc184308073"/>
      <w:bookmarkEnd w:id="152"/>
      <w:bookmarkStart w:id="153" w:name="_Toc184310305"/>
      <w:bookmarkEnd w:id="153"/>
      <w:bookmarkStart w:id="154" w:name="_Toc184310288"/>
      <w:bookmarkEnd w:id="154"/>
      <w:bookmarkStart w:id="155" w:name="_Toc184312130"/>
      <w:bookmarkEnd w:id="155"/>
      <w:bookmarkStart w:id="156" w:name="_Toc184312137"/>
      <w:bookmarkEnd w:id="156"/>
      <w:bookmarkStart w:id="157" w:name="_Toc184312116"/>
      <w:bookmarkEnd w:id="157"/>
      <w:bookmarkStart w:id="158" w:name="_Toc184314425"/>
      <w:bookmarkEnd w:id="158"/>
      <w:bookmarkStart w:id="159" w:name="_Toc184312119"/>
      <w:bookmarkEnd w:id="159"/>
      <w:bookmarkStart w:id="160" w:name="_Toc184310298"/>
      <w:bookmarkEnd w:id="160"/>
      <w:bookmarkStart w:id="161" w:name="_Toc184313276"/>
      <w:bookmarkEnd w:id="161"/>
      <w:bookmarkStart w:id="162" w:name="_Toc184310336"/>
      <w:bookmarkEnd w:id="162"/>
      <w:bookmarkStart w:id="163" w:name="_Toc184308098"/>
      <w:bookmarkEnd w:id="163"/>
      <w:bookmarkStart w:id="164" w:name="_Toc184310302"/>
      <w:bookmarkEnd w:id="164"/>
      <w:bookmarkStart w:id="165" w:name="_Toc184313253"/>
      <w:bookmarkEnd w:id="165"/>
      <w:bookmarkStart w:id="166" w:name="_Toc184310309"/>
      <w:bookmarkEnd w:id="166"/>
      <w:bookmarkStart w:id="167" w:name="_Toc184312096"/>
      <w:bookmarkEnd w:id="167"/>
      <w:bookmarkStart w:id="168" w:name="_Toc184308078"/>
      <w:bookmarkEnd w:id="168"/>
      <w:bookmarkStart w:id="169" w:name="_Toc184310340"/>
      <w:bookmarkEnd w:id="169"/>
      <w:bookmarkStart w:id="170" w:name="_Toc184308068"/>
      <w:bookmarkEnd w:id="170"/>
      <w:bookmarkStart w:id="171" w:name="_Toc184310325"/>
      <w:bookmarkEnd w:id="171"/>
      <w:bookmarkStart w:id="172" w:name="_Toc184314465"/>
      <w:bookmarkEnd w:id="172"/>
      <w:bookmarkStart w:id="173" w:name="_Toc184313269"/>
      <w:bookmarkEnd w:id="173"/>
      <w:bookmarkStart w:id="174" w:name="_Toc184308074"/>
      <w:bookmarkEnd w:id="174"/>
      <w:bookmarkStart w:id="175" w:name="_Toc184308049"/>
      <w:bookmarkEnd w:id="175"/>
      <w:bookmarkStart w:id="176" w:name="_Toc184314469"/>
      <w:bookmarkEnd w:id="176"/>
      <w:bookmarkStart w:id="177" w:name="_Toc184313288"/>
      <w:bookmarkEnd w:id="177"/>
      <w:bookmarkStart w:id="178" w:name="_Toc184312133"/>
      <w:bookmarkEnd w:id="178"/>
      <w:bookmarkStart w:id="179" w:name="_Toc184310330"/>
      <w:bookmarkEnd w:id="179"/>
      <w:bookmarkStart w:id="180" w:name="_Toc184312128"/>
      <w:bookmarkEnd w:id="180"/>
      <w:bookmarkStart w:id="181" w:name="_Toc184312124"/>
      <w:bookmarkEnd w:id="181"/>
      <w:bookmarkStart w:id="182" w:name="_Toc184308036"/>
      <w:bookmarkEnd w:id="182"/>
      <w:bookmarkStart w:id="183" w:name="_Toc184308099"/>
      <w:bookmarkEnd w:id="183"/>
      <w:bookmarkStart w:id="184" w:name="_Toc184313240"/>
      <w:bookmarkEnd w:id="184"/>
      <w:bookmarkStart w:id="185" w:name="_Toc184310294"/>
      <w:bookmarkEnd w:id="185"/>
      <w:bookmarkStart w:id="186" w:name="_Toc184308092"/>
      <w:bookmarkEnd w:id="186"/>
      <w:bookmarkStart w:id="187" w:name="_Toc184314427"/>
      <w:bookmarkEnd w:id="187"/>
      <w:bookmarkStart w:id="188" w:name="_Toc184313290"/>
      <w:bookmarkEnd w:id="188"/>
      <w:bookmarkStart w:id="189" w:name="_Toc184314464"/>
      <w:bookmarkEnd w:id="189"/>
      <w:bookmarkStart w:id="190" w:name="_Toc184308037"/>
      <w:bookmarkEnd w:id="190"/>
      <w:bookmarkStart w:id="191" w:name="_Toc184313247"/>
      <w:bookmarkEnd w:id="191"/>
      <w:bookmarkStart w:id="192" w:name="_Toc184310327"/>
      <w:bookmarkEnd w:id="192"/>
      <w:bookmarkStart w:id="193" w:name="_Toc184314437"/>
      <w:bookmarkEnd w:id="193"/>
      <w:bookmarkStart w:id="194" w:name="_Toc184312113"/>
      <w:bookmarkEnd w:id="194"/>
      <w:bookmarkStart w:id="195" w:name="_Toc184310334"/>
      <w:bookmarkEnd w:id="195"/>
      <w:bookmarkStart w:id="196" w:name="_Toc184313279"/>
      <w:bookmarkEnd w:id="196"/>
      <w:bookmarkStart w:id="197" w:name="_Toc184313271"/>
      <w:bookmarkEnd w:id="197"/>
      <w:bookmarkStart w:id="198" w:name="_Toc184308072"/>
      <w:bookmarkEnd w:id="198"/>
      <w:bookmarkStart w:id="199" w:name="_Toc184313285"/>
      <w:bookmarkEnd w:id="199"/>
      <w:bookmarkStart w:id="200" w:name="_Toc184308047"/>
      <w:bookmarkEnd w:id="200"/>
      <w:bookmarkStart w:id="201" w:name="_Toc184308069"/>
      <w:bookmarkEnd w:id="201"/>
      <w:bookmarkStart w:id="202" w:name="_Toc184313297"/>
      <w:bookmarkEnd w:id="202"/>
      <w:bookmarkStart w:id="203" w:name="_Toc184313268"/>
      <w:bookmarkEnd w:id="203"/>
      <w:bookmarkStart w:id="204" w:name="_Toc184313255"/>
      <w:bookmarkEnd w:id="204"/>
      <w:bookmarkStart w:id="205" w:name="_Toc184313258"/>
      <w:bookmarkEnd w:id="205"/>
      <w:bookmarkStart w:id="206" w:name="_Toc184313278"/>
      <w:bookmarkEnd w:id="206"/>
      <w:bookmarkStart w:id="207" w:name="_Toc184314422"/>
      <w:bookmarkEnd w:id="207"/>
      <w:bookmarkStart w:id="208" w:name="_Toc184312107"/>
      <w:bookmarkEnd w:id="208"/>
      <w:bookmarkStart w:id="209" w:name="_Toc184313242"/>
      <w:bookmarkEnd w:id="209"/>
      <w:bookmarkStart w:id="210" w:name="_Toc184314423"/>
      <w:bookmarkEnd w:id="210"/>
      <w:bookmarkStart w:id="211" w:name="_Toc184308077"/>
      <w:bookmarkEnd w:id="211"/>
      <w:bookmarkStart w:id="212" w:name="_Toc184310304"/>
      <w:bookmarkEnd w:id="212"/>
      <w:bookmarkStart w:id="213" w:name="_Toc184312122"/>
      <w:bookmarkEnd w:id="213"/>
      <w:bookmarkStart w:id="214" w:name="_Toc184308095"/>
      <w:bookmarkEnd w:id="214"/>
      <w:bookmarkStart w:id="215" w:name="_Toc184310307"/>
      <w:bookmarkEnd w:id="215"/>
      <w:bookmarkStart w:id="216" w:name="_Toc184314451"/>
      <w:bookmarkEnd w:id="216"/>
      <w:bookmarkStart w:id="217" w:name="_Toc184310321"/>
      <w:bookmarkEnd w:id="217"/>
      <w:bookmarkStart w:id="218" w:name="_Toc184308080"/>
      <w:bookmarkEnd w:id="218"/>
      <w:bookmarkStart w:id="219" w:name="_Toc184312131"/>
      <w:bookmarkEnd w:id="219"/>
      <w:bookmarkStart w:id="220" w:name="_Toc184310338"/>
      <w:bookmarkEnd w:id="220"/>
      <w:bookmarkStart w:id="221" w:name="_Toc184310332"/>
      <w:bookmarkEnd w:id="221"/>
      <w:bookmarkStart w:id="222" w:name="_Toc184313263"/>
      <w:bookmarkEnd w:id="222"/>
      <w:bookmarkStart w:id="223" w:name="_Toc184308070"/>
      <w:bookmarkEnd w:id="223"/>
      <w:bookmarkStart w:id="224" w:name="_Toc184313252"/>
      <w:bookmarkEnd w:id="224"/>
      <w:bookmarkStart w:id="225" w:name="_Toc184314441"/>
      <w:bookmarkEnd w:id="225"/>
      <w:bookmarkStart w:id="226" w:name="_Toc184310297"/>
      <w:bookmarkEnd w:id="226"/>
      <w:bookmarkStart w:id="227" w:name="_Toc184314467"/>
      <w:bookmarkEnd w:id="227"/>
      <w:bookmarkStart w:id="228" w:name="_Toc184310292"/>
      <w:bookmarkEnd w:id="228"/>
      <w:bookmarkStart w:id="229" w:name="_Toc184313302"/>
      <w:bookmarkEnd w:id="229"/>
      <w:bookmarkStart w:id="230" w:name="_Toc184313286"/>
      <w:bookmarkEnd w:id="230"/>
      <w:bookmarkStart w:id="231" w:name="_Toc184312069"/>
      <w:bookmarkEnd w:id="231"/>
      <w:bookmarkStart w:id="232" w:name="_Toc184313265"/>
      <w:bookmarkEnd w:id="232"/>
      <w:bookmarkStart w:id="233" w:name="_Toc184310329"/>
      <w:bookmarkEnd w:id="233"/>
      <w:bookmarkStart w:id="234" w:name="_Toc184314448"/>
      <w:bookmarkEnd w:id="234"/>
      <w:bookmarkStart w:id="235" w:name="_Toc184308060"/>
      <w:bookmarkEnd w:id="235"/>
      <w:bookmarkStart w:id="236" w:name="_Toc184313280"/>
      <w:bookmarkEnd w:id="236"/>
      <w:bookmarkStart w:id="237" w:name="_Toc184308101"/>
      <w:bookmarkEnd w:id="237"/>
      <w:bookmarkStart w:id="238" w:name="_Toc184308053"/>
      <w:bookmarkEnd w:id="238"/>
      <w:bookmarkStart w:id="239" w:name="_Toc184310343"/>
      <w:bookmarkEnd w:id="239"/>
      <w:bookmarkStart w:id="240" w:name="_Toc184312126"/>
      <w:bookmarkEnd w:id="240"/>
      <w:bookmarkStart w:id="241" w:name="_Toc184310277"/>
      <w:bookmarkEnd w:id="241"/>
      <w:bookmarkStart w:id="242" w:name="_Toc184310275"/>
      <w:bookmarkEnd w:id="242"/>
      <w:bookmarkStart w:id="243" w:name="_Toc184310320"/>
      <w:bookmarkEnd w:id="243"/>
      <w:bookmarkStart w:id="244" w:name="_Toc184310276"/>
      <w:bookmarkEnd w:id="244"/>
      <w:bookmarkStart w:id="245" w:name="_Toc184312118"/>
      <w:bookmarkEnd w:id="245"/>
      <w:bookmarkStart w:id="246" w:name="_Toc184313250"/>
      <w:bookmarkEnd w:id="246"/>
      <w:bookmarkStart w:id="247" w:name="_Toc184313289"/>
      <w:bookmarkEnd w:id="247"/>
      <w:bookmarkStart w:id="248" w:name="_Toc184313292"/>
      <w:bookmarkEnd w:id="248"/>
      <w:bookmarkStart w:id="249" w:name="_Toc184310313"/>
      <w:bookmarkEnd w:id="249"/>
      <w:bookmarkStart w:id="250" w:name="_Toc184313294"/>
      <w:bookmarkEnd w:id="250"/>
      <w:bookmarkStart w:id="251" w:name="_Toc184310282"/>
      <w:bookmarkEnd w:id="251"/>
      <w:bookmarkStart w:id="252" w:name="_Toc184310310"/>
      <w:bookmarkEnd w:id="252"/>
      <w:bookmarkStart w:id="253" w:name="_Toc184308093"/>
      <w:bookmarkEnd w:id="253"/>
      <w:bookmarkStart w:id="254" w:name="_Toc184308052"/>
      <w:bookmarkEnd w:id="254"/>
      <w:bookmarkStart w:id="255" w:name="_Toc184310315"/>
      <w:bookmarkEnd w:id="255"/>
      <w:bookmarkStart w:id="256" w:name="_Toc184314460"/>
      <w:bookmarkEnd w:id="256"/>
      <w:bookmarkStart w:id="257" w:name="_Toc184314430"/>
      <w:bookmarkEnd w:id="257"/>
      <w:bookmarkStart w:id="258" w:name="_Toc184314471"/>
      <w:bookmarkEnd w:id="258"/>
      <w:bookmarkStart w:id="259" w:name="_Toc184313309"/>
      <w:bookmarkEnd w:id="259"/>
      <w:bookmarkStart w:id="260" w:name="_Toc184308082"/>
      <w:bookmarkEnd w:id="260"/>
      <w:bookmarkStart w:id="261" w:name="_Toc184308063"/>
      <w:bookmarkEnd w:id="261"/>
      <w:bookmarkStart w:id="262" w:name="_Toc184310281"/>
      <w:bookmarkEnd w:id="262"/>
      <w:bookmarkStart w:id="263" w:name="_Toc184314456"/>
      <w:bookmarkEnd w:id="263"/>
      <w:bookmarkStart w:id="264" w:name="_Toc184308097"/>
      <w:bookmarkEnd w:id="264"/>
      <w:bookmarkStart w:id="265" w:name="_Toc184314429"/>
      <w:bookmarkEnd w:id="265"/>
      <w:bookmarkStart w:id="266" w:name="_Toc184310318"/>
      <w:bookmarkEnd w:id="266"/>
      <w:bookmarkStart w:id="267" w:name="_Toc184314410"/>
      <w:bookmarkEnd w:id="267"/>
      <w:bookmarkStart w:id="268" w:name="_Toc184313296"/>
      <w:bookmarkEnd w:id="268"/>
      <w:bookmarkStart w:id="269" w:name="_Toc184312101"/>
      <w:bookmarkEnd w:id="269"/>
      <w:bookmarkStart w:id="270" w:name="_Toc184312110"/>
      <w:bookmarkEnd w:id="270"/>
      <w:bookmarkStart w:id="271" w:name="_Toc184314416"/>
      <w:bookmarkEnd w:id="271"/>
      <w:bookmarkStart w:id="272" w:name="_Toc184308079"/>
      <w:bookmarkEnd w:id="272"/>
      <w:bookmarkStart w:id="273" w:name="_Toc184312080"/>
      <w:bookmarkEnd w:id="273"/>
      <w:bookmarkStart w:id="274" w:name="_Toc184314426"/>
      <w:bookmarkEnd w:id="274"/>
      <w:bookmarkStart w:id="275" w:name="_Toc184310295"/>
      <w:bookmarkEnd w:id="275"/>
      <w:bookmarkStart w:id="276" w:name="_Toc184313307"/>
      <w:bookmarkEnd w:id="276"/>
      <w:bookmarkStart w:id="277" w:name="_Toc184312103"/>
      <w:bookmarkEnd w:id="277"/>
      <w:bookmarkStart w:id="278" w:name="_Toc184312070"/>
      <w:bookmarkEnd w:id="278"/>
      <w:bookmarkStart w:id="279" w:name="_Toc184313249"/>
      <w:bookmarkEnd w:id="279"/>
      <w:bookmarkStart w:id="280" w:name="_Toc184310328"/>
      <w:bookmarkEnd w:id="280"/>
      <w:bookmarkStart w:id="281" w:name="_Toc184313291"/>
      <w:bookmarkEnd w:id="281"/>
      <w:bookmarkStart w:id="282" w:name="_Toc184313260"/>
      <w:bookmarkEnd w:id="282"/>
      <w:bookmarkStart w:id="283" w:name="_Toc184312095"/>
      <w:bookmarkEnd w:id="283"/>
      <w:bookmarkStart w:id="284" w:name="_Toc184308076"/>
      <w:bookmarkEnd w:id="284"/>
      <w:bookmarkStart w:id="285" w:name="_Toc184313256"/>
      <w:bookmarkEnd w:id="285"/>
      <w:bookmarkStart w:id="286" w:name="_Toc184313305"/>
      <w:bookmarkEnd w:id="286"/>
      <w:bookmarkStart w:id="287" w:name="_Toc184308050"/>
      <w:bookmarkEnd w:id="287"/>
      <w:bookmarkStart w:id="288" w:name="_Toc184313274"/>
      <w:bookmarkEnd w:id="288"/>
      <w:bookmarkStart w:id="289" w:name="_Toc184314421"/>
      <w:bookmarkEnd w:id="289"/>
      <w:bookmarkStart w:id="290" w:name="_Toc184310293"/>
      <w:bookmarkEnd w:id="290"/>
      <w:bookmarkStart w:id="291" w:name="_Toc184308039"/>
      <w:bookmarkEnd w:id="291"/>
      <w:bookmarkStart w:id="292" w:name="_Toc184310344"/>
      <w:bookmarkEnd w:id="292"/>
      <w:bookmarkStart w:id="293" w:name="_Toc184313284"/>
      <w:bookmarkEnd w:id="293"/>
      <w:bookmarkStart w:id="294" w:name="_Toc184310324"/>
      <w:bookmarkEnd w:id="294"/>
      <w:bookmarkStart w:id="295" w:name="_Toc184308071"/>
      <w:bookmarkEnd w:id="295"/>
      <w:bookmarkStart w:id="296" w:name="_Toc184313266"/>
      <w:bookmarkEnd w:id="296"/>
      <w:bookmarkStart w:id="297" w:name="_Toc184310316"/>
      <w:bookmarkEnd w:id="297"/>
      <w:bookmarkStart w:id="298" w:name="_Toc184308059"/>
      <w:bookmarkEnd w:id="298"/>
      <w:bookmarkStart w:id="299" w:name="_Toc184312104"/>
      <w:bookmarkEnd w:id="299"/>
      <w:bookmarkStart w:id="300" w:name="_Toc184312100"/>
      <w:bookmarkEnd w:id="300"/>
      <w:bookmarkStart w:id="301" w:name="_Toc184310312"/>
      <w:bookmarkEnd w:id="301"/>
      <w:bookmarkStart w:id="302" w:name="_Toc184310339"/>
      <w:bookmarkEnd w:id="302"/>
      <w:bookmarkStart w:id="303" w:name="_Toc184314478"/>
      <w:bookmarkEnd w:id="303"/>
      <w:bookmarkStart w:id="304" w:name="_Toc184314433"/>
      <w:bookmarkEnd w:id="304"/>
      <w:bookmarkStart w:id="305" w:name="_Toc184313239"/>
      <w:bookmarkEnd w:id="305"/>
      <w:bookmarkStart w:id="306" w:name="_Toc184314477"/>
      <w:bookmarkEnd w:id="306"/>
      <w:bookmarkStart w:id="307" w:name="_Toc184310287"/>
      <w:bookmarkEnd w:id="307"/>
      <w:bookmarkStart w:id="308" w:name="_Toc184313283"/>
      <w:bookmarkEnd w:id="308"/>
      <w:bookmarkStart w:id="309" w:name="_Toc184310300"/>
      <w:bookmarkEnd w:id="309"/>
      <w:bookmarkStart w:id="310" w:name="_Toc184310341"/>
      <w:bookmarkEnd w:id="310"/>
      <w:bookmarkStart w:id="311" w:name="_Toc184312111"/>
      <w:bookmarkEnd w:id="311"/>
      <w:bookmarkStart w:id="312" w:name="_Toc184310299"/>
      <w:bookmarkEnd w:id="312"/>
      <w:bookmarkStart w:id="313" w:name="_Toc184314462"/>
      <w:bookmarkEnd w:id="313"/>
      <w:bookmarkStart w:id="314" w:name="_Toc184312105"/>
      <w:bookmarkEnd w:id="314"/>
      <w:bookmarkStart w:id="315" w:name="_Toc184308041"/>
      <w:bookmarkEnd w:id="315"/>
      <w:bookmarkStart w:id="316" w:name="_Toc184313262"/>
      <w:bookmarkEnd w:id="316"/>
      <w:bookmarkStart w:id="317" w:name="_Toc184312099"/>
      <w:bookmarkEnd w:id="317"/>
      <w:bookmarkStart w:id="318" w:name="_Toc184312078"/>
      <w:bookmarkEnd w:id="318"/>
      <w:bookmarkStart w:id="319" w:name="_Toc184312115"/>
      <w:bookmarkEnd w:id="319"/>
      <w:bookmarkStart w:id="320" w:name="_Toc184308044"/>
      <w:bookmarkEnd w:id="320"/>
      <w:bookmarkStart w:id="321" w:name="_Toc184313261"/>
      <w:bookmarkEnd w:id="321"/>
      <w:bookmarkStart w:id="322" w:name="_Toc184308062"/>
      <w:bookmarkEnd w:id="322"/>
      <w:bookmarkStart w:id="323" w:name="_Toc184312092"/>
      <w:bookmarkEnd w:id="323"/>
      <w:bookmarkStart w:id="324" w:name="_Toc184310319"/>
      <w:bookmarkEnd w:id="324"/>
      <w:bookmarkStart w:id="325" w:name="_Toc184312093"/>
      <w:bookmarkEnd w:id="325"/>
      <w:bookmarkStart w:id="326" w:name="_Toc184313243"/>
      <w:bookmarkEnd w:id="326"/>
      <w:bookmarkStart w:id="327" w:name="_Toc184314415"/>
      <w:bookmarkEnd w:id="327"/>
      <w:bookmarkStart w:id="328" w:name="_Toc184310284"/>
      <w:bookmarkEnd w:id="328"/>
      <w:bookmarkStart w:id="329" w:name="_Toc184312073"/>
      <w:bookmarkEnd w:id="329"/>
      <w:bookmarkStart w:id="330" w:name="_Toc184313275"/>
      <w:bookmarkEnd w:id="330"/>
      <w:bookmarkStart w:id="331" w:name="_Toc184314474"/>
      <w:bookmarkEnd w:id="331"/>
      <w:bookmarkStart w:id="332" w:name="_Toc184314411"/>
      <w:bookmarkEnd w:id="332"/>
      <w:bookmarkStart w:id="333" w:name="_Toc184313264"/>
      <w:bookmarkEnd w:id="333"/>
      <w:bookmarkStart w:id="334" w:name="_Toc184308087"/>
      <w:bookmarkEnd w:id="334"/>
      <w:bookmarkStart w:id="335" w:name="_Toc184314442"/>
      <w:bookmarkEnd w:id="335"/>
      <w:bookmarkStart w:id="336" w:name="_Toc184308045"/>
      <w:bookmarkEnd w:id="336"/>
      <w:bookmarkStart w:id="337" w:name="_Toc184312102"/>
      <w:bookmarkEnd w:id="337"/>
      <w:bookmarkStart w:id="338" w:name="_Toc184314428"/>
      <w:bookmarkEnd w:id="338"/>
      <w:bookmarkStart w:id="339" w:name="_Toc184314440"/>
      <w:bookmarkEnd w:id="339"/>
      <w:bookmarkStart w:id="340" w:name="_Toc184308067"/>
      <w:bookmarkEnd w:id="340"/>
      <w:bookmarkStart w:id="341" w:name="_Toc184314457"/>
      <w:bookmarkEnd w:id="341"/>
      <w:bookmarkStart w:id="342" w:name="_Toc184314418"/>
      <w:bookmarkEnd w:id="342"/>
      <w:bookmarkStart w:id="343" w:name="_Toc184308066"/>
      <w:bookmarkEnd w:id="343"/>
      <w:bookmarkStart w:id="344" w:name="_Toc184310296"/>
      <w:bookmarkEnd w:id="344"/>
      <w:bookmarkStart w:id="345" w:name="_Toc184312089"/>
      <w:bookmarkEnd w:id="345"/>
      <w:bookmarkStart w:id="346" w:name="_Toc184308089"/>
      <w:bookmarkEnd w:id="346"/>
      <w:bookmarkStart w:id="347" w:name="_Toc184312074"/>
      <w:bookmarkEnd w:id="347"/>
      <w:bookmarkStart w:id="348" w:name="_Toc184310306"/>
      <w:bookmarkEnd w:id="348"/>
      <w:bookmarkStart w:id="349" w:name="_Toc184314445"/>
      <w:bookmarkEnd w:id="349"/>
      <w:bookmarkStart w:id="350" w:name="_Toc184312079"/>
      <w:bookmarkEnd w:id="350"/>
      <w:bookmarkStart w:id="351" w:name="_Toc184313277"/>
      <w:bookmarkEnd w:id="351"/>
      <w:bookmarkStart w:id="352" w:name="_Toc184314431"/>
      <w:bookmarkEnd w:id="352"/>
      <w:bookmarkStart w:id="353" w:name="_Toc184314414"/>
      <w:bookmarkEnd w:id="353"/>
      <w:bookmarkStart w:id="354" w:name="_Toc184312138"/>
      <w:bookmarkEnd w:id="354"/>
      <w:bookmarkStart w:id="355" w:name="_Toc184312071"/>
      <w:bookmarkEnd w:id="355"/>
      <w:bookmarkStart w:id="356" w:name="_Toc184312086"/>
      <w:bookmarkEnd w:id="356"/>
      <w:bookmarkStart w:id="357" w:name="_Toc184308108"/>
      <w:bookmarkEnd w:id="357"/>
      <w:bookmarkStart w:id="358" w:name="_Toc184313259"/>
      <w:bookmarkEnd w:id="358"/>
      <w:bookmarkStart w:id="359" w:name="_Toc184313254"/>
      <w:bookmarkEnd w:id="359"/>
      <w:bookmarkStart w:id="360" w:name="_Toc184314473"/>
      <w:bookmarkEnd w:id="360"/>
      <w:bookmarkStart w:id="361" w:name="_Toc184314472"/>
      <w:bookmarkEnd w:id="361"/>
      <w:bookmarkStart w:id="362" w:name="_Toc184314449"/>
      <w:bookmarkEnd w:id="362"/>
      <w:bookmarkStart w:id="363" w:name="_Toc184308086"/>
      <w:bookmarkEnd w:id="363"/>
      <w:bookmarkStart w:id="364" w:name="_Toc184312129"/>
      <w:bookmarkEnd w:id="364"/>
      <w:bookmarkStart w:id="365" w:name="_Toc184313244"/>
      <w:bookmarkEnd w:id="365"/>
      <w:bookmarkStart w:id="366" w:name="_Toc184312075"/>
      <w:bookmarkEnd w:id="366"/>
      <w:bookmarkStart w:id="367" w:name="_Toc184312081"/>
      <w:bookmarkEnd w:id="367"/>
      <w:bookmarkStart w:id="368" w:name="_Toc184312067"/>
      <w:bookmarkEnd w:id="368"/>
      <w:bookmarkStart w:id="369" w:name="_Toc184312139"/>
      <w:bookmarkEnd w:id="369"/>
      <w:bookmarkStart w:id="370" w:name="_Toc184310311"/>
      <w:bookmarkEnd w:id="370"/>
      <w:bookmarkStart w:id="371" w:name="_Toc184310323"/>
      <w:bookmarkEnd w:id="371"/>
      <w:bookmarkStart w:id="372" w:name="_Toc184308094"/>
      <w:bookmarkEnd w:id="372"/>
      <w:bookmarkStart w:id="373" w:name="_Toc184308100"/>
      <w:bookmarkEnd w:id="373"/>
      <w:bookmarkStart w:id="374" w:name="_Toc184312127"/>
      <w:bookmarkEnd w:id="374"/>
      <w:bookmarkStart w:id="375" w:name="_Toc184308042"/>
      <w:bookmarkEnd w:id="375"/>
      <w:bookmarkStart w:id="376" w:name="_Toc184310314"/>
      <w:bookmarkEnd w:id="376"/>
      <w:bookmarkStart w:id="377" w:name="_Toc184313238"/>
      <w:bookmarkEnd w:id="377"/>
      <w:bookmarkStart w:id="378" w:name="_Toc184310285"/>
      <w:bookmarkEnd w:id="378"/>
      <w:bookmarkStart w:id="379" w:name="_Toc184314432"/>
      <w:bookmarkEnd w:id="379"/>
      <w:bookmarkStart w:id="380" w:name="_Toc184313295"/>
      <w:bookmarkEnd w:id="380"/>
      <w:bookmarkStart w:id="381" w:name="_Toc184313272"/>
      <w:bookmarkEnd w:id="381"/>
      <w:bookmarkStart w:id="382" w:name="_Toc184314461"/>
      <w:bookmarkEnd w:id="382"/>
      <w:bookmarkStart w:id="383" w:name="_Toc184313301"/>
      <w:bookmarkEnd w:id="383"/>
      <w:bookmarkStart w:id="384" w:name="_Toc184310289"/>
      <w:bookmarkEnd w:id="384"/>
      <w:bookmarkStart w:id="385" w:name="_Toc184308096"/>
      <w:bookmarkEnd w:id="385"/>
      <w:bookmarkStart w:id="386" w:name="_Toc184314420"/>
      <w:bookmarkEnd w:id="386"/>
      <w:bookmarkStart w:id="387" w:name="_Toc184310272"/>
      <w:bookmarkEnd w:id="387"/>
      <w:bookmarkStart w:id="388" w:name="_Toc184313306"/>
      <w:bookmarkEnd w:id="388"/>
      <w:bookmarkStart w:id="389" w:name="_Toc184314444"/>
      <w:bookmarkEnd w:id="389"/>
      <w:bookmarkStart w:id="390" w:name="_Toc184312085"/>
      <w:bookmarkEnd w:id="390"/>
      <w:bookmarkStart w:id="391" w:name="_Toc184310301"/>
      <w:bookmarkEnd w:id="391"/>
      <w:bookmarkStart w:id="392" w:name="_Toc184314482"/>
      <w:bookmarkEnd w:id="392"/>
      <w:bookmarkStart w:id="393" w:name="_Toc184308106"/>
      <w:bookmarkEnd w:id="393"/>
      <w:bookmarkStart w:id="394" w:name="_Toc184310303"/>
      <w:bookmarkEnd w:id="394"/>
      <w:bookmarkStart w:id="395" w:name="_Toc184310279"/>
      <w:bookmarkEnd w:id="395"/>
      <w:bookmarkStart w:id="396" w:name="_Toc184314447"/>
      <w:bookmarkEnd w:id="396"/>
      <w:bookmarkStart w:id="397" w:name="_Toc184314450"/>
      <w:bookmarkEnd w:id="397"/>
      <w:bookmarkStart w:id="398" w:name="_Toc184313282"/>
      <w:bookmarkEnd w:id="398"/>
      <w:bookmarkStart w:id="399" w:name="_Toc184310333"/>
      <w:bookmarkEnd w:id="399"/>
      <w:bookmarkStart w:id="400" w:name="_Toc184310283"/>
      <w:bookmarkEnd w:id="400"/>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5355"/>
        <w:gridCol w:w="645"/>
        <w:gridCol w:w="83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5355"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评标标准</w:t>
            </w:r>
          </w:p>
        </w:tc>
        <w:tc>
          <w:tcPr>
            <w:tcW w:w="645" w:type="dxa"/>
            <w:vAlign w:val="center"/>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最高分值</w:t>
            </w:r>
          </w:p>
        </w:tc>
        <w:tc>
          <w:tcPr>
            <w:tcW w:w="833" w:type="dxa"/>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主观分/客观分属性</w:t>
            </w:r>
          </w:p>
        </w:tc>
        <w:tc>
          <w:tcPr>
            <w:tcW w:w="1635" w:type="dxa"/>
          </w:tcPr>
          <w:p>
            <w:pPr>
              <w:snapToGrid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171" w:type="dxa"/>
            <w:vMerge w:val="restart"/>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1.焊接件：焊接处应无脱焊、虚焊、错位，应无气孔、焊丝头、咬边，焊疤表面波纹应均匀，出现一处不符合不得分（2分）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2.样品整体牢固、扎实，各种配件结合处应无松动，出现一处不符合不得分（2分）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3.金属件涂饰：应无漏喷、锈蚀，涂层应光滑均匀,应无流挂、疙瘩等，出现一处不符合不得分（2分）</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4.表面平整、有光泽、抗污抗划痕，出现一处不符合不得分（2分）</w:t>
            </w:r>
          </w:p>
        </w:tc>
        <w:tc>
          <w:tcPr>
            <w:tcW w:w="645" w:type="dxa"/>
            <w:vMerge w:val="restart"/>
            <w:vAlign w:val="center"/>
          </w:tcPr>
          <w:p>
            <w:pPr>
              <w:adjustRightInd/>
              <w:spacing w:line="312" w:lineRule="auto"/>
              <w:jc w:val="center"/>
              <w:rPr>
                <w:rFonts w:cs="宋体" w:asciiTheme="minorEastAsia" w:hAnsiTheme="minorEastAsia" w:eastAsiaTheme="minorEastAsia"/>
                <w:kern w:val="0"/>
                <w:sz w:val="24"/>
              </w:rPr>
            </w:pPr>
            <w:r>
              <w:rPr>
                <w:rFonts w:hint="eastAsia" w:cs="仿宋" w:asciiTheme="minorEastAsia" w:hAnsiTheme="minorEastAsia" w:eastAsiaTheme="minorEastAsia"/>
                <w:sz w:val="24"/>
              </w:rPr>
              <w:t>19</w:t>
            </w:r>
          </w:p>
        </w:tc>
        <w:tc>
          <w:tcPr>
            <w:tcW w:w="833" w:type="dxa"/>
            <w:vMerge w:val="restart"/>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主观分</w:t>
            </w:r>
          </w:p>
        </w:tc>
        <w:tc>
          <w:tcPr>
            <w:tcW w:w="1635" w:type="dxa"/>
            <w:vMerge w:val="restart"/>
            <w:vAlign w:val="center"/>
          </w:tcPr>
          <w:p>
            <w:pPr>
              <w:adjustRightInd/>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样品分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snapToGrid w:val="0"/>
              <w:spacing w:line="360" w:lineRule="auto"/>
              <w:jc w:val="center"/>
              <w:rPr>
                <w:rFonts w:cs="宋体" w:asciiTheme="minorEastAsia" w:hAnsiTheme="minorEastAsia" w:eastAsiaTheme="minorEastAsia"/>
                <w:sz w:val="24"/>
              </w:rPr>
            </w:pPr>
          </w:p>
        </w:tc>
        <w:tc>
          <w:tcPr>
            <w:tcW w:w="5355" w:type="dxa"/>
          </w:tcPr>
          <w:p>
            <w:pPr>
              <w:tabs>
                <w:tab w:val="left" w:pos="3060"/>
              </w:tabs>
              <w:snapToGrid w:val="0"/>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款式是否符合招标文件的要求（0-1分），外观式样是否符合学生人体坐姿要求（0-1分）、坐感是否舒适（0-1分），美观情况（0-1分）。</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snapToGrid w:val="0"/>
              <w:spacing w:line="360" w:lineRule="auto"/>
              <w:jc w:val="center"/>
              <w:rPr>
                <w:rFonts w:cs="宋体" w:asciiTheme="minorEastAsia" w:hAnsiTheme="minorEastAsia" w:eastAsiaTheme="minorEastAsia"/>
                <w:sz w:val="24"/>
              </w:rPr>
            </w:pPr>
          </w:p>
        </w:tc>
        <w:tc>
          <w:tcPr>
            <w:tcW w:w="5355"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样品选用的部件（5分）：</w:t>
            </w:r>
          </w:p>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钢管、ABS塑料桌面、多层板注塑桌面、座靠板、TPE靠背连接件、手摇升降杆部件、脚套的材质、功能、尺寸是否符合技术参数要求，完全符合的得满分，有一项不符合扣1分，扣完为止。</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snapToGrid w:val="0"/>
              <w:spacing w:line="360" w:lineRule="auto"/>
              <w:jc w:val="center"/>
              <w:rPr>
                <w:rFonts w:cs="宋体" w:asciiTheme="minorEastAsia" w:hAnsiTheme="minorEastAsia" w:eastAsiaTheme="minorEastAsia"/>
                <w:sz w:val="24"/>
              </w:rPr>
            </w:pPr>
          </w:p>
        </w:tc>
        <w:tc>
          <w:tcPr>
            <w:tcW w:w="5355" w:type="dxa"/>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产品其它性能的评分，如制作工艺先进性（0-0.5分）、桌椅升降的顺畅性（0-0.5分）、安全性（0-0.5分）、课椅的便捷性（0-0.5分）。</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根据投标产品的技术参数与需求的吻合程度和偏差情况评分，完全满足得10分；标“◆”项重要技术参数负偏离每一项扣减2分，其余技术参数负偏离每一项扣减1分，扣完为止。</w:t>
            </w:r>
          </w:p>
        </w:tc>
        <w:tc>
          <w:tcPr>
            <w:tcW w:w="645" w:type="dxa"/>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10</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客观分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所投产品技术参数偏离情况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须提供国家认可具有CMA资质的检测机构出具的塑料桌面板、饰面多层板、塑料座靠板、钢板、钢管、塑粉、脚套、手摇升降杆的有效期内合格的检测报告，检测内容需符合招标文件原材料检测报告要求，每份符合要求的报告得1分，最高得8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以上检测报告须提供扫描件和全国认证认可信息公共服务平台官网（http://cx.cnca.cn/)查询截图（加盖投标单位公章），不提供的不计分。</w:t>
            </w:r>
          </w:p>
        </w:tc>
        <w:tc>
          <w:tcPr>
            <w:tcW w:w="645" w:type="dxa"/>
            <w:vAlign w:val="center"/>
          </w:tcPr>
          <w:p>
            <w:pPr>
              <w:spacing w:line="400" w:lineRule="atLeast"/>
              <w:jc w:val="center"/>
              <w:rPr>
                <w:rFonts w:cs="仿宋" w:asciiTheme="minorEastAsia" w:hAnsiTheme="minorEastAsia" w:eastAsiaTheme="minorEastAsia"/>
                <w:sz w:val="24"/>
              </w:rPr>
            </w:pPr>
          </w:p>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8</w:t>
            </w:r>
          </w:p>
        </w:tc>
        <w:tc>
          <w:tcPr>
            <w:tcW w:w="833" w:type="dxa"/>
            <w:vAlign w:val="center"/>
          </w:tcPr>
          <w:p>
            <w:pPr>
              <w:snapToGrid w:val="0"/>
              <w:spacing w:line="360" w:lineRule="auto"/>
              <w:jc w:val="center"/>
              <w:rPr>
                <w:rFonts w:cs="仿宋_GB2312" w:asciiTheme="minorEastAsia" w:hAnsiTheme="minorEastAsia" w:eastAsiaTheme="minorEastAsia"/>
                <w:bCs/>
                <w:sz w:val="24"/>
              </w:rPr>
            </w:pPr>
          </w:p>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客观分</w:t>
            </w:r>
          </w:p>
        </w:tc>
        <w:tc>
          <w:tcPr>
            <w:tcW w:w="1635" w:type="dxa"/>
            <w:vAlign w:val="center"/>
          </w:tcPr>
          <w:p>
            <w:pPr>
              <w:adjustRightInd/>
              <w:spacing w:line="312" w:lineRule="auto"/>
              <w:jc w:val="center"/>
              <w:rPr>
                <w:rFonts w:cs="宋体" w:asciiTheme="minorEastAsia" w:hAnsiTheme="minorEastAsia" w:eastAsiaTheme="minorEastAsia"/>
                <w:sz w:val="24"/>
              </w:rPr>
            </w:pPr>
          </w:p>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投标产品主要材料获得的检测报告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4</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所投手摇升降课桌椅：提供国家认可具有CMA资质的检测机构出具的手摇课桌椅的有效期内合格的检测报告，检测内容需符合招标文件中成品检测报告要求，检测报告每缺失一项扣1分、每有一项不符合扣1分，扣完为止。（4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以上检验报告须提供扫描件和全国认证认可信息公共服务平台官网（http://cx.cnca.cn/)查询截图（加盖投标单位公章）。</w:t>
            </w:r>
          </w:p>
        </w:tc>
        <w:tc>
          <w:tcPr>
            <w:tcW w:w="645" w:type="dxa"/>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客观分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投标产品获得的检测报告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生产厂家具有和本项目采购产品相关的生产设备（功能相同即可）：</w:t>
            </w:r>
          </w:p>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全自动焊接机器人、气动翻转台、手持式激光焊机、光纤激光五轴管材专用切割机、光纤激光板材切割机、数控裁板锯、雕刻机、加工中心、硅烷前处理喷塑流水线、注塑机、碎料机、全自动弯管机、中央集尘器、涂装废水处理设备、等离子废气净化设备。上述设备有1种得0.5分，本项最高得6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有效证明材料：提供设备照片、书面说明以及购置或者租赁发票扫描件，不提供不得分。</w:t>
            </w:r>
          </w:p>
        </w:tc>
        <w:tc>
          <w:tcPr>
            <w:tcW w:w="64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833" w:type="dxa"/>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客观分</w:t>
            </w:r>
          </w:p>
        </w:tc>
        <w:tc>
          <w:tcPr>
            <w:tcW w:w="1635" w:type="dxa"/>
            <w:vAlign w:val="center"/>
          </w:tcPr>
          <w:p>
            <w:pPr>
              <w:adjustRightInd/>
              <w:spacing w:line="312" w:lineRule="auto"/>
              <w:rPr>
                <w:rFonts w:cs="宋体" w:asciiTheme="minorEastAsia" w:hAnsiTheme="minorEastAsia" w:eastAsiaTheme="minorEastAsia"/>
                <w:sz w:val="24"/>
              </w:rPr>
            </w:pPr>
            <w:r>
              <w:rPr>
                <w:rFonts w:hint="eastAsia" w:cs="宋体" w:asciiTheme="minorEastAsia" w:hAnsiTheme="minorEastAsia" w:eastAsiaTheme="minorEastAsia"/>
                <w:sz w:val="24"/>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6</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提出合理的项目整体实施方案，能按照项目分解节点，并可跟踪实施。根据供应商提供方案的合理性、可行性以及与采购需求的满足情况评分，完全满足得2分；部分满足得1分，不满足不得分。</w:t>
            </w:r>
          </w:p>
        </w:tc>
        <w:tc>
          <w:tcPr>
            <w:tcW w:w="645" w:type="dxa"/>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主观分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项目实施规划方案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7</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要具备生产能力，在规定的时间内有计划的完成项目需求产品的生产装配。根据供应商提供方案的合理性、可行性以及与采购需求的满足情况评分，完全满足得2分；部分满足得1分，不满足不得分。</w:t>
            </w:r>
          </w:p>
        </w:tc>
        <w:tc>
          <w:tcPr>
            <w:tcW w:w="645" w:type="dxa"/>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主观分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生产实施方案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8</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有独立品管部门和专门品管人员，确保产品生产过程中的质量控制完善。根据供应商提供方案的合理性、可行性以及与采购需求的满足情况评分，完全满足得2分；部分满足得1分，不满足不得分。</w:t>
            </w:r>
          </w:p>
        </w:tc>
        <w:tc>
          <w:tcPr>
            <w:tcW w:w="645" w:type="dxa"/>
            <w:vAlign w:val="center"/>
          </w:tcPr>
          <w:p>
            <w:pPr>
              <w:spacing w:line="400" w:lineRule="atLeas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主观分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品质管理管控方案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安装方案的制定，根据货物交付时间节点，落实送货安装时间和人员安排，确保按期交付使用。根据供应商提供方案的合理性、可行性以及与采购需求的满足情况评分，完全满足得2分；部分满足得1分，不满足不得分。</w:t>
            </w:r>
          </w:p>
        </w:tc>
        <w:tc>
          <w:tcPr>
            <w:tcW w:w="64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主观分</w:t>
            </w:r>
          </w:p>
        </w:tc>
        <w:tc>
          <w:tcPr>
            <w:tcW w:w="1635" w:type="dxa"/>
            <w:vAlign w:val="center"/>
          </w:tcPr>
          <w:p>
            <w:pPr>
              <w:adjustRightInd/>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安装服务实施方案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5355" w:type="dxa"/>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验收方案的制定，根据采购需求配合采购人实施验收。根据供应商提供方案的合理性、可行性以及与采购需求的满足情况评分，完全满足得2分；部分满足得1分，不满足不得分。</w:t>
            </w:r>
          </w:p>
        </w:tc>
        <w:tc>
          <w:tcPr>
            <w:tcW w:w="64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833" w:type="dxa"/>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主观分</w:t>
            </w:r>
          </w:p>
        </w:tc>
        <w:tc>
          <w:tcPr>
            <w:tcW w:w="1635" w:type="dxa"/>
            <w:vAlign w:val="center"/>
          </w:tcPr>
          <w:p>
            <w:pPr>
              <w:adjustRightInd/>
              <w:spacing w:line="312"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171" w:type="dxa"/>
            <w:vMerge w:val="restart"/>
          </w:tcPr>
          <w:p>
            <w:pPr>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w:t>
            </w: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备品备件：根据投标单位提供的备品备件清单评分，写明数量等相关信息。（1分）</w:t>
            </w:r>
          </w:p>
        </w:tc>
        <w:tc>
          <w:tcPr>
            <w:tcW w:w="645" w:type="dxa"/>
            <w:vMerge w:val="restart"/>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客观分</w:t>
            </w:r>
          </w:p>
        </w:tc>
        <w:tc>
          <w:tcPr>
            <w:tcW w:w="1635" w:type="dxa"/>
            <w:vMerge w:val="restart"/>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171" w:type="dxa"/>
            <w:vMerge w:val="continue"/>
          </w:tcPr>
          <w:p>
            <w:pPr>
              <w:spacing w:line="360" w:lineRule="auto"/>
              <w:jc w:val="center"/>
              <w:rPr>
                <w:rFonts w:hint="eastAsia" w:cs="宋体" w:asciiTheme="minorEastAsia" w:hAnsiTheme="minorEastAsia" w:eastAsiaTheme="minorEastAsia"/>
                <w:kern w:val="0"/>
                <w:sz w:val="24"/>
              </w:rPr>
            </w:pPr>
          </w:p>
        </w:tc>
        <w:tc>
          <w:tcPr>
            <w:tcW w:w="5355" w:type="dxa"/>
          </w:tcPr>
          <w:p>
            <w:pPr>
              <w:tabs>
                <w:tab w:val="left" w:pos="312"/>
              </w:tabs>
              <w:rPr>
                <w:rFonts w:hint="eastAsia" w:cs="宋体" w:asciiTheme="minorEastAsia" w:hAnsiTheme="minorEastAsia" w:eastAsiaTheme="minorEastAsia"/>
                <w:sz w:val="24"/>
              </w:rPr>
            </w:pPr>
            <w:r>
              <w:rPr>
                <w:rFonts w:hint="eastAsia" w:cs="宋体" w:asciiTheme="minorEastAsia" w:hAnsiTheme="minorEastAsia" w:eastAsiaTheme="minorEastAsia"/>
                <w:sz w:val="24"/>
              </w:rPr>
              <w:t>在满足招标文件的要求下，每延长1年质保期，加0.5分，最多加1分。（1分）</w:t>
            </w:r>
          </w:p>
        </w:tc>
        <w:tc>
          <w:tcPr>
            <w:tcW w:w="645" w:type="dxa"/>
            <w:vMerge w:val="continue"/>
            <w:vAlign w:val="center"/>
          </w:tcPr>
          <w:p>
            <w:pPr>
              <w:adjustRightInd/>
              <w:spacing w:line="312" w:lineRule="auto"/>
              <w:jc w:val="center"/>
              <w:rPr>
                <w:rFonts w:hint="eastAsia" w:cs="宋体" w:asciiTheme="minorEastAsia" w:hAnsiTheme="minorEastAsia" w:eastAsiaTheme="minorEastAsia"/>
                <w:kern w:val="0"/>
                <w:sz w:val="24"/>
              </w:rPr>
            </w:pPr>
          </w:p>
        </w:tc>
        <w:tc>
          <w:tcPr>
            <w:tcW w:w="833" w:type="dxa"/>
            <w:vAlign w:val="center"/>
          </w:tcPr>
          <w:p>
            <w:pPr>
              <w:snapToGrid w:val="0"/>
              <w:spacing w:line="360" w:lineRule="auto"/>
              <w:jc w:val="center"/>
              <w:rPr>
                <w:rFonts w:hint="eastAsia" w:cs="仿宋_GB2312" w:asciiTheme="minorEastAsia" w:hAnsiTheme="minorEastAsia" w:eastAsiaTheme="minorEastAsia"/>
                <w:bCs/>
                <w:sz w:val="24"/>
              </w:rPr>
            </w:pPr>
            <w:r>
              <w:rPr>
                <w:rFonts w:hint="eastAsia" w:cs="仿宋_GB2312" w:asciiTheme="minorEastAsia" w:hAnsiTheme="minorEastAsia" w:eastAsiaTheme="minorEastAsia"/>
                <w:bCs/>
                <w:sz w:val="24"/>
              </w:rPr>
              <w:t>客观分</w:t>
            </w:r>
          </w:p>
        </w:tc>
        <w:tc>
          <w:tcPr>
            <w:tcW w:w="1635" w:type="dxa"/>
            <w:vMerge w:val="continue"/>
            <w:vAlign w:val="center"/>
          </w:tcPr>
          <w:p>
            <w:pPr>
              <w:adjustRightInd/>
              <w:spacing w:line="312" w:lineRule="auto"/>
              <w:jc w:val="center"/>
              <w:rPr>
                <w:rFonts w:hint="eastAsia"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171" w:type="dxa"/>
            <w:vMerge w:val="continue"/>
          </w:tcPr>
          <w:p>
            <w:pPr>
              <w:spacing w:line="360" w:lineRule="auto"/>
              <w:jc w:val="center"/>
              <w:rPr>
                <w:rFonts w:hint="eastAsia" w:cs="宋体" w:asciiTheme="minorEastAsia" w:hAnsiTheme="minorEastAsia" w:eastAsiaTheme="minorEastAsia"/>
                <w:kern w:val="0"/>
                <w:sz w:val="24"/>
              </w:rPr>
            </w:pPr>
          </w:p>
        </w:tc>
        <w:tc>
          <w:tcPr>
            <w:tcW w:w="5355" w:type="dxa"/>
          </w:tcPr>
          <w:p>
            <w:pPr>
              <w:tabs>
                <w:tab w:val="left" w:pos="312"/>
              </w:tabs>
              <w:spacing w:line="360" w:lineRule="auto"/>
              <w:ind w:right="60"/>
              <w:rPr>
                <w:rFonts w:hint="eastAsia" w:cs="宋体" w:asciiTheme="minorEastAsia" w:hAnsiTheme="minorEastAsia" w:eastAsiaTheme="minorEastAsia"/>
                <w:sz w:val="24"/>
              </w:rPr>
            </w:pPr>
            <w:r>
              <w:rPr>
                <w:rFonts w:hint="eastAsia" w:cs="宋体" w:asciiTheme="minorEastAsia" w:hAnsiTheme="minorEastAsia" w:eastAsiaTheme="minorEastAsia"/>
                <w:sz w:val="24"/>
              </w:rPr>
              <w:t>提供详细完整的“三包”措施及售后服务措施和方案（包括服务措施、产品质量保证、回访、技术培训等）。根据供应商提供方案的合理性、可行性以及与采购需求的满足情况评分，完全满足得2分；部分满足得1分，不满足不得分。</w:t>
            </w:r>
          </w:p>
        </w:tc>
        <w:tc>
          <w:tcPr>
            <w:tcW w:w="645" w:type="dxa"/>
            <w:vMerge w:val="continue"/>
            <w:vAlign w:val="center"/>
          </w:tcPr>
          <w:p>
            <w:pPr>
              <w:adjustRightInd/>
              <w:spacing w:line="312" w:lineRule="auto"/>
              <w:jc w:val="center"/>
              <w:rPr>
                <w:rFonts w:hint="eastAsia" w:cs="宋体" w:asciiTheme="minorEastAsia" w:hAnsiTheme="minorEastAsia" w:eastAsiaTheme="minorEastAsia"/>
                <w:kern w:val="0"/>
                <w:sz w:val="24"/>
              </w:rPr>
            </w:pPr>
          </w:p>
        </w:tc>
        <w:tc>
          <w:tcPr>
            <w:tcW w:w="833" w:type="dxa"/>
            <w:vAlign w:val="center"/>
          </w:tcPr>
          <w:p>
            <w:pPr>
              <w:snapToGrid w:val="0"/>
              <w:spacing w:line="360" w:lineRule="auto"/>
              <w:jc w:val="center"/>
              <w:rPr>
                <w:rFonts w:hint="eastAsia" w:cs="仿宋_GB2312" w:asciiTheme="minorEastAsia" w:hAnsiTheme="minorEastAsia" w:eastAsiaTheme="minorEastAsia"/>
                <w:bCs/>
                <w:sz w:val="24"/>
              </w:rPr>
            </w:pPr>
            <w:r>
              <w:rPr>
                <w:rFonts w:hint="eastAsia" w:cs="仿宋_GB2312" w:asciiTheme="minorEastAsia" w:hAnsiTheme="minorEastAsia" w:eastAsiaTheme="minorEastAsia"/>
                <w:bCs/>
                <w:sz w:val="24"/>
              </w:rPr>
              <w:t>主观分</w:t>
            </w:r>
          </w:p>
        </w:tc>
        <w:tc>
          <w:tcPr>
            <w:tcW w:w="1635" w:type="dxa"/>
            <w:vMerge w:val="continue"/>
            <w:vAlign w:val="center"/>
          </w:tcPr>
          <w:p>
            <w:pPr>
              <w:adjustRightInd/>
              <w:spacing w:line="312" w:lineRule="auto"/>
              <w:jc w:val="center"/>
              <w:rPr>
                <w:rFonts w:hint="eastAsia"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71" w:type="dxa"/>
            <w:vMerge w:val="restart"/>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p>
            <w:pPr>
              <w:spacing w:line="360" w:lineRule="auto"/>
              <w:jc w:val="center"/>
              <w:rPr>
                <w:rFonts w:cs="宋体" w:asciiTheme="minorEastAsia" w:hAnsiTheme="minorEastAsia" w:eastAsiaTheme="minorEastAsia"/>
                <w:sz w:val="24"/>
              </w:rPr>
            </w:pP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主要产品的生产厂家具有有效期内的ISO9001质量管理体系认证证书，提供证书扫描件，有得1分，没有不得分。</w:t>
            </w:r>
          </w:p>
        </w:tc>
        <w:tc>
          <w:tcPr>
            <w:tcW w:w="645" w:type="dxa"/>
            <w:vMerge w:val="restart"/>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833" w:type="dxa"/>
            <w:vMerge w:val="restart"/>
            <w:vAlign w:val="center"/>
          </w:tcPr>
          <w:p>
            <w:pPr>
              <w:snapToGrid w:val="0"/>
              <w:spacing w:line="360" w:lineRule="auto"/>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客观分</w:t>
            </w:r>
          </w:p>
          <w:p>
            <w:pPr>
              <w:snapToGrid w:val="0"/>
              <w:spacing w:line="360" w:lineRule="auto"/>
              <w:jc w:val="center"/>
              <w:rPr>
                <w:rFonts w:cs="宋体" w:asciiTheme="minorEastAsia" w:hAnsiTheme="minorEastAsia" w:eastAsiaTheme="minorEastAsia"/>
                <w:sz w:val="24"/>
              </w:rPr>
            </w:pPr>
          </w:p>
        </w:tc>
        <w:tc>
          <w:tcPr>
            <w:tcW w:w="1635" w:type="dxa"/>
            <w:vMerge w:val="restart"/>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adjustRightInd/>
              <w:spacing w:line="360" w:lineRule="auto"/>
              <w:jc w:val="center"/>
              <w:rPr>
                <w:rFonts w:cs="宋体" w:asciiTheme="minorEastAsia" w:hAnsiTheme="minorEastAsia" w:eastAsiaTheme="minorEastAsia"/>
                <w:kern w:val="0"/>
                <w:sz w:val="24"/>
              </w:rPr>
            </w:pP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主要产品的生产厂家具有有效期内的ISO14001环境管理体系认证证书，提供证书扫描件，有得1分，没有不得分</w:t>
            </w:r>
            <w:r>
              <w:rPr>
                <w:rFonts w:hint="eastAsia" w:cs="宋体" w:asciiTheme="minorEastAsia" w:hAnsiTheme="minorEastAsia" w:eastAsiaTheme="minorEastAsia"/>
                <w:sz w:val="24"/>
                <w:lang w:val="zh-TW"/>
              </w:rPr>
              <w:t>。</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adjustRightInd/>
              <w:spacing w:line="360" w:lineRule="auto"/>
              <w:jc w:val="center"/>
              <w:rPr>
                <w:rFonts w:cs="宋体" w:asciiTheme="minorEastAsia" w:hAnsiTheme="minorEastAsia" w:eastAsiaTheme="minorEastAsia"/>
                <w:kern w:val="0"/>
                <w:sz w:val="24"/>
              </w:rPr>
            </w:pP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主要产品的生产厂家具有有效期内的ISO45001职业健康安全管理体系认证证书，提供证书扫描件，有得1分，没有不得分。</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Merge w:val="continue"/>
            <w:vAlign w:val="center"/>
          </w:tcPr>
          <w:p>
            <w:pPr>
              <w:adjustRightInd/>
              <w:spacing w:line="360" w:lineRule="auto"/>
              <w:jc w:val="center"/>
              <w:rPr>
                <w:rFonts w:cs="宋体" w:asciiTheme="minorEastAsia" w:hAnsiTheme="minorEastAsia" w:eastAsiaTheme="minorEastAsia"/>
                <w:kern w:val="0"/>
                <w:sz w:val="24"/>
              </w:rPr>
            </w:pP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生产厂家具有有效期内的CQC中国环保产品认证证书，提供证书扫描件，有得1分，没有不得分。</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71" w:type="dxa"/>
            <w:vMerge w:val="continue"/>
            <w:vAlign w:val="center"/>
          </w:tcPr>
          <w:p>
            <w:pPr>
              <w:adjustRightInd/>
              <w:spacing w:line="360" w:lineRule="auto"/>
              <w:jc w:val="center"/>
              <w:rPr>
                <w:rFonts w:cs="宋体" w:asciiTheme="minorEastAsia" w:hAnsiTheme="minorEastAsia" w:eastAsiaTheme="minorEastAsia"/>
                <w:kern w:val="0"/>
                <w:sz w:val="24"/>
              </w:rPr>
            </w:pP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投标产品获得国家确定的认证机构出具的有效期之内的环境标志产品认证证书，每项产品得1分，最高得2分。供应商须提供证书扫描件，否则不得分。</w:t>
            </w:r>
          </w:p>
        </w:tc>
        <w:tc>
          <w:tcPr>
            <w:tcW w:w="645" w:type="dxa"/>
            <w:vMerge w:val="continue"/>
            <w:vAlign w:val="center"/>
          </w:tcPr>
          <w:p>
            <w:pPr>
              <w:adjustRightInd/>
              <w:spacing w:line="312" w:lineRule="auto"/>
              <w:jc w:val="center"/>
              <w:rPr>
                <w:rFonts w:cs="宋体" w:asciiTheme="minorEastAsia" w:hAnsiTheme="minorEastAsia" w:eastAsiaTheme="minorEastAsia"/>
                <w:kern w:val="0"/>
                <w:sz w:val="24"/>
              </w:rPr>
            </w:pPr>
          </w:p>
        </w:tc>
        <w:tc>
          <w:tcPr>
            <w:tcW w:w="833" w:type="dxa"/>
            <w:vMerge w:val="continue"/>
            <w:vAlign w:val="center"/>
          </w:tcPr>
          <w:p>
            <w:pPr>
              <w:snapToGrid w:val="0"/>
              <w:spacing w:line="360" w:lineRule="auto"/>
              <w:jc w:val="center"/>
              <w:rPr>
                <w:rFonts w:cs="宋体" w:asciiTheme="minorEastAsia" w:hAnsiTheme="minorEastAsia" w:eastAsiaTheme="minorEastAsia"/>
                <w:sz w:val="24"/>
              </w:rPr>
            </w:pPr>
          </w:p>
        </w:tc>
        <w:tc>
          <w:tcPr>
            <w:tcW w:w="1635" w:type="dxa"/>
            <w:vMerge w:val="continue"/>
            <w:vAlign w:val="center"/>
          </w:tcPr>
          <w:p>
            <w:pPr>
              <w:adjustRightInd/>
              <w:spacing w:line="312" w:lineRule="auto"/>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投标人自2020年1月1日（含）以来（以合同签订时间为准）承担过类似项目，合同标的须包含学生课桌椅。须同时提供合同扫描件、合格验收报告相关证明材料。每提供一个成功案例得1分，最高得3分。</w:t>
            </w:r>
          </w:p>
        </w:tc>
        <w:tc>
          <w:tcPr>
            <w:tcW w:w="64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833" w:type="dxa"/>
            <w:vAlign w:val="center"/>
          </w:tcPr>
          <w:p>
            <w:pPr>
              <w:snapToGrid w:val="0"/>
              <w:spacing w:line="360" w:lineRule="auto"/>
              <w:jc w:val="center"/>
              <w:rPr>
                <w:rFonts w:cs="宋体" w:asciiTheme="minorEastAsia" w:hAnsiTheme="minorEastAsia" w:eastAsiaTheme="minorEastAsia"/>
                <w:sz w:val="24"/>
              </w:rPr>
            </w:pPr>
            <w:r>
              <w:rPr>
                <w:rFonts w:hint="eastAsia" w:cs="仿宋_GB2312" w:asciiTheme="minorEastAsia" w:hAnsiTheme="minorEastAsia" w:eastAsiaTheme="minorEastAsia"/>
                <w:bCs/>
                <w:sz w:val="24"/>
              </w:rPr>
              <w:t>客观分</w:t>
            </w:r>
          </w:p>
        </w:tc>
        <w:tc>
          <w:tcPr>
            <w:tcW w:w="1635" w:type="dxa"/>
            <w:vAlign w:val="center"/>
          </w:tcPr>
          <w:p>
            <w:pPr>
              <w:adjustRightInd/>
              <w:spacing w:line="312"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类似项目实施业绩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1" w:type="dxa"/>
            <w:vAlign w:val="center"/>
          </w:tcPr>
          <w:p>
            <w:pPr>
              <w:adjustRightInd/>
              <w:spacing w:line="360" w:lineRule="auto"/>
              <w:jc w:val="center"/>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14</w:t>
            </w:r>
          </w:p>
        </w:tc>
        <w:tc>
          <w:tcPr>
            <w:tcW w:w="5355" w:type="dxa"/>
          </w:tcPr>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有效投标报价的最低价作为评标基准价，其最低报价为满分；按［投标报价得分=（评标基准价/投标报价）*最高分值］的计算公式计算。</w:t>
            </w:r>
          </w:p>
          <w:p>
            <w:pPr>
              <w:spacing w:line="360" w:lineRule="auto"/>
              <w:ind w:right="60"/>
              <w:rPr>
                <w:rFonts w:cs="宋体" w:asciiTheme="minorEastAsia" w:hAnsiTheme="minorEastAsia" w:eastAsiaTheme="minorEastAsia"/>
                <w:sz w:val="24"/>
              </w:rPr>
            </w:pPr>
            <w:r>
              <w:rPr>
                <w:rFonts w:hint="eastAsia" w:cs="宋体" w:asciiTheme="minorEastAsia" w:hAnsiTheme="minorEastAsia" w:eastAsiaTheme="minorEastAsia"/>
                <w:sz w:val="24"/>
              </w:rPr>
              <w:t>评标过程中，不得去掉报价中的最高报价和最低报价。</w:t>
            </w:r>
          </w:p>
        </w:tc>
        <w:tc>
          <w:tcPr>
            <w:tcW w:w="645" w:type="dxa"/>
            <w:vAlign w:val="center"/>
          </w:tcPr>
          <w:p>
            <w:pPr>
              <w:spacing w:line="312" w:lineRule="auto"/>
              <w:jc w:val="center"/>
              <w:outlineLvl w:val="0"/>
              <w:rPr>
                <w:rFonts w:cs="仿宋" w:asciiTheme="minorEastAsia" w:hAnsiTheme="minorEastAsia" w:eastAsiaTheme="minorEastAsia"/>
                <w:sz w:val="24"/>
              </w:rPr>
            </w:pPr>
            <w:r>
              <w:rPr>
                <w:rFonts w:hint="eastAsia" w:cs="仿宋" w:asciiTheme="minorEastAsia" w:hAnsiTheme="minorEastAsia" w:eastAsiaTheme="minorEastAsia"/>
                <w:sz w:val="24"/>
              </w:rPr>
              <w:t>30</w:t>
            </w:r>
          </w:p>
        </w:tc>
        <w:tc>
          <w:tcPr>
            <w:tcW w:w="833" w:type="dxa"/>
            <w:vAlign w:val="center"/>
          </w:tcPr>
          <w:p>
            <w:pPr>
              <w:spacing w:line="360" w:lineRule="auto"/>
              <w:jc w:val="center"/>
              <w:outlineLvl w:val="0"/>
              <w:rPr>
                <w:rFonts w:cs="仿宋_GB2312" w:asciiTheme="minorEastAsia" w:hAnsiTheme="minorEastAsia" w:eastAsiaTheme="minorEastAsia"/>
                <w:sz w:val="24"/>
              </w:rPr>
            </w:pPr>
          </w:p>
        </w:tc>
        <w:tc>
          <w:tcPr>
            <w:tcW w:w="1635" w:type="dxa"/>
            <w:vAlign w:val="center"/>
          </w:tcPr>
          <w:p>
            <w:pPr>
              <w:spacing w:line="312" w:lineRule="auto"/>
              <w:jc w:val="center"/>
              <w:outlineLvl w:val="0"/>
              <w:rPr>
                <w:rFonts w:cs="仿宋" w:asciiTheme="minorEastAsia" w:hAnsiTheme="minorEastAsia" w:eastAsiaTheme="minorEastAsia"/>
                <w:sz w:val="24"/>
              </w:rPr>
            </w:pPr>
            <w:r>
              <w:rPr>
                <w:rFonts w:hint="eastAsia" w:cs="仿宋" w:asciiTheme="minorEastAsia" w:hAnsiTheme="minorEastAsia" w:eastAsiaTheme="minorEastAsia"/>
                <w:sz w:val="24"/>
              </w:rPr>
              <w:t>/</w:t>
            </w:r>
          </w:p>
        </w:tc>
      </w:tr>
    </w:tbl>
    <w:p>
      <w:pPr>
        <w:snapToGrid w:val="0"/>
        <w:spacing w:line="360" w:lineRule="auto"/>
        <w:jc w:val="center"/>
        <w:rPr>
          <w:rFonts w:ascii="宋体" w:hAnsi="宋体" w:cs="宋体"/>
          <w:b/>
          <w:sz w:val="32"/>
          <w:szCs w:val="20"/>
        </w:rPr>
      </w:pPr>
    </w:p>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4.2.13投标人未提供样品或提供的样品不满足采购需求实质性条件的，投标无效；不得出现能代表投标人和品牌的名称、标志、文字、图案、LOGO等所有暗示性内容，否则视为无效投标</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30"/>
    <w:p>
      <w:pPr>
        <w:spacing w:line="360" w:lineRule="auto"/>
        <w:ind w:left="720" w:leftChars="343" w:firstLine="1084" w:firstLineChars="300"/>
        <w:outlineLvl w:val="0"/>
        <w:rPr>
          <w:rFonts w:ascii="宋体" w:hAnsi="宋体" w:cs="宋体"/>
          <w:b/>
          <w:sz w:val="36"/>
          <w:szCs w:val="36"/>
        </w:rPr>
      </w:pPr>
      <w:bookmarkStart w:id="401" w:name="第五部分"/>
      <w:bookmarkStart w:id="402"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bCs/>
          <w:kern w:val="44"/>
          <w:sz w:val="36"/>
          <w:szCs w:val="36"/>
        </w:rPr>
      </w:pPr>
      <w:r>
        <w:rPr>
          <w:rFonts w:ascii="宋体" w:hAnsi="宋体" w:cs="宋体"/>
          <w:sz w:val="36"/>
          <w:szCs w:val="36"/>
        </w:rPr>
        <w:br w:type="page"/>
      </w:r>
    </w:p>
    <w:p>
      <w:pPr>
        <w:pStyle w:val="3"/>
        <w:ind w:left="0" w:firstLine="0"/>
        <w:jc w:val="center"/>
        <w:rPr>
          <w:rFonts w:ascii="宋体" w:hAnsi="宋体" w:cs="宋体"/>
          <w:sz w:val="36"/>
          <w:szCs w:val="36"/>
        </w:rPr>
      </w:pPr>
      <w:r>
        <w:rPr>
          <w:rFonts w:hint="eastAsia" w:ascii="宋体" w:hAnsi="宋体" w:cs="宋体"/>
          <w:sz w:val="36"/>
          <w:szCs w:val="36"/>
        </w:rPr>
        <w:t>第五部分 拟签订的合同文本</w:t>
      </w:r>
    </w:p>
    <w:p>
      <w:pPr>
        <w:pStyle w:val="3"/>
        <w:ind w:left="0" w:firstLine="0"/>
        <w:jc w:val="center"/>
        <w:rPr>
          <w:rFonts w:ascii="宋体" w:hAnsi="宋体" w:cs="宋体"/>
          <w:sz w:val="36"/>
          <w:szCs w:val="36"/>
        </w:rPr>
      </w:pPr>
      <w:r>
        <w:rPr>
          <w:rFonts w:hint="eastAsia" w:ascii="宋体" w:hAnsi="宋体"/>
          <w:b w:val="0"/>
          <w:sz w:val="28"/>
          <w:szCs w:val="28"/>
        </w:rPr>
        <w:t>2023年度余杭区教育系统课桌椅规模化采购项目供货协议</w:t>
      </w:r>
    </w:p>
    <w:p>
      <w:pPr>
        <w:spacing w:line="480" w:lineRule="exact"/>
        <w:ind w:firstLine="480" w:firstLineChars="200"/>
        <w:jc w:val="right"/>
        <w:rPr>
          <w:rFonts w:ascii="宋体" w:hAnsi="宋体"/>
          <w:sz w:val="24"/>
        </w:rPr>
      </w:pPr>
      <w:r>
        <w:rPr>
          <w:rFonts w:hint="eastAsia" w:ascii="宋体" w:hAnsi="宋体" w:cs="宋体"/>
          <w:sz w:val="24"/>
        </w:rPr>
        <w:t xml:space="preserve">合同编号： </w:t>
      </w:r>
      <w:r>
        <w:rPr>
          <w:rFonts w:hint="eastAsia" w:ascii="宋体" w:hAnsi="宋体"/>
          <w:sz w:val="24"/>
        </w:rPr>
        <w:t xml:space="preserve">      </w:t>
      </w:r>
    </w:p>
    <w:p>
      <w:pPr>
        <w:snapToGrid w:val="0"/>
        <w:spacing w:line="336" w:lineRule="auto"/>
        <w:rPr>
          <w:rFonts w:ascii="宋体" w:hAnsi="宋体"/>
          <w:sz w:val="24"/>
        </w:rPr>
      </w:pPr>
      <w:r>
        <w:rPr>
          <w:rFonts w:hint="eastAsia" w:ascii="宋体" w:hAnsi="宋体"/>
          <w:sz w:val="24"/>
        </w:rPr>
        <w:t>甲方：杭州市余杭区教育资产营运中心</w:t>
      </w:r>
    </w:p>
    <w:p>
      <w:pPr>
        <w:snapToGrid w:val="0"/>
        <w:spacing w:line="336" w:lineRule="auto"/>
        <w:rPr>
          <w:rFonts w:ascii="宋体" w:hAnsi="宋体"/>
          <w:sz w:val="24"/>
        </w:rPr>
      </w:pPr>
      <w:r>
        <w:rPr>
          <w:rFonts w:hint="eastAsia" w:ascii="宋体" w:hAnsi="宋体"/>
          <w:sz w:val="24"/>
        </w:rPr>
        <w:t>乙方：</w:t>
      </w:r>
    </w:p>
    <w:p>
      <w:pPr>
        <w:snapToGrid w:val="0"/>
        <w:spacing w:line="336" w:lineRule="auto"/>
        <w:rPr>
          <w:rFonts w:ascii="宋体" w:hAnsi="宋体" w:cs="宋体"/>
          <w:sz w:val="24"/>
        </w:rPr>
      </w:pPr>
      <w:r>
        <w:rPr>
          <w:rFonts w:hint="eastAsia" w:ascii="宋体" w:hAnsi="宋体" w:cs="宋体"/>
          <w:sz w:val="24"/>
        </w:rPr>
        <w:t xml:space="preserve">    甲、乙双方根据</w:t>
      </w:r>
      <w:r>
        <w:rPr>
          <w:rFonts w:hint="eastAsia" w:ascii="宋体" w:hAnsi="宋体" w:cs="宋体"/>
          <w:sz w:val="24"/>
          <w:u w:val="single"/>
        </w:rPr>
        <w:t xml:space="preserve"> 2023年度余杭区教育系统课桌椅规模化采购项目</w:t>
      </w:r>
      <w:r>
        <w:rPr>
          <w:rFonts w:hint="eastAsia" w:ascii="宋体" w:hAnsi="宋体" w:cs="宋体"/>
          <w:sz w:val="24"/>
        </w:rPr>
        <w:t>（项目编号：HZYHZFCG-2023-0 ）公开招标的结果，签署本协议。</w:t>
      </w:r>
    </w:p>
    <w:p>
      <w:pPr>
        <w:numPr>
          <w:ilvl w:val="0"/>
          <w:numId w:val="2"/>
        </w:numPr>
        <w:snapToGrid w:val="0"/>
        <w:spacing w:line="336" w:lineRule="auto"/>
        <w:rPr>
          <w:rFonts w:ascii="宋体" w:hAnsi="宋体" w:cs="宋体"/>
          <w:sz w:val="24"/>
        </w:rPr>
      </w:pPr>
      <w:r>
        <w:rPr>
          <w:rFonts w:hint="eastAsia" w:ascii="宋体" w:hAnsi="宋体" w:cs="宋体"/>
          <w:sz w:val="24"/>
        </w:rPr>
        <w:t>货物名称、型号、规格、配置、技术参数、数量及合同价款</w:t>
      </w:r>
    </w:p>
    <w:tbl>
      <w:tblPr>
        <w:tblStyle w:val="62"/>
        <w:tblW w:w="9198" w:type="dxa"/>
        <w:jc w:val="center"/>
        <w:tblLayout w:type="fixed"/>
        <w:tblCellMar>
          <w:top w:w="0" w:type="dxa"/>
          <w:left w:w="108" w:type="dxa"/>
          <w:bottom w:w="0" w:type="dxa"/>
          <w:right w:w="108" w:type="dxa"/>
        </w:tblCellMar>
      </w:tblPr>
      <w:tblGrid>
        <w:gridCol w:w="689"/>
        <w:gridCol w:w="1429"/>
        <w:gridCol w:w="2987"/>
        <w:gridCol w:w="688"/>
        <w:gridCol w:w="850"/>
        <w:gridCol w:w="925"/>
        <w:gridCol w:w="1012"/>
        <w:gridCol w:w="618"/>
      </w:tblGrid>
      <w:tr>
        <w:tblPrEx>
          <w:tblCellMar>
            <w:top w:w="0" w:type="dxa"/>
            <w:left w:w="108" w:type="dxa"/>
            <w:bottom w:w="0" w:type="dxa"/>
            <w:right w:w="108" w:type="dxa"/>
          </w:tblCellMar>
        </w:tblPrEx>
        <w:trPr>
          <w:trHeight w:val="9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1429"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298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品牌、型号、规格等</w:t>
            </w: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单价(元)</w:t>
            </w:r>
          </w:p>
        </w:tc>
        <w:tc>
          <w:tcPr>
            <w:tcW w:w="1012"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合价(元)</w:t>
            </w:r>
          </w:p>
        </w:tc>
        <w:tc>
          <w:tcPr>
            <w:tcW w:w="618"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29" w:type="dxa"/>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ascii="宋体" w:hAnsi="宋体" w:cs="宋体"/>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29" w:type="dxa"/>
            <w:tcBorders>
              <w:top w:val="single" w:color="auto" w:sz="4" w:space="0"/>
              <w:left w:val="nil"/>
              <w:bottom w:val="single" w:color="auto" w:sz="4" w:space="0"/>
              <w:right w:val="single" w:color="auto" w:sz="4" w:space="0"/>
            </w:tcBorders>
            <w:vAlign w:val="center"/>
          </w:tcPr>
          <w:p>
            <w:pPr>
              <w:spacing w:line="300" w:lineRule="auto"/>
              <w:ind w:left="106" w:hanging="106"/>
              <w:jc w:val="left"/>
              <w:rPr>
                <w:rFonts w:ascii="宋体" w:hAnsi="宋体" w:cs="宋体"/>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ascii="宋体" w:hAnsi="宋体" w:cs="宋体"/>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trHeight w:val="738"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29" w:type="dxa"/>
            <w:tcBorders>
              <w:top w:val="single" w:color="auto" w:sz="4" w:space="0"/>
              <w:left w:val="nil"/>
              <w:bottom w:val="single" w:color="auto" w:sz="4" w:space="0"/>
              <w:right w:val="single" w:color="auto" w:sz="4" w:space="0"/>
            </w:tcBorders>
            <w:vAlign w:val="center"/>
          </w:tcPr>
          <w:p>
            <w:pPr>
              <w:spacing w:line="300" w:lineRule="auto"/>
              <w:ind w:left="106" w:hanging="106"/>
              <w:jc w:val="left"/>
              <w:rPr>
                <w:rFonts w:ascii="宋体" w:hAnsi="宋体" w:cs="宋体"/>
                <w:sz w:val="24"/>
              </w:rPr>
            </w:pPr>
          </w:p>
        </w:tc>
        <w:tc>
          <w:tcPr>
            <w:tcW w:w="2987" w:type="dxa"/>
            <w:tcBorders>
              <w:top w:val="single" w:color="auto" w:sz="4" w:space="0"/>
              <w:left w:val="nil"/>
              <w:bottom w:val="single" w:color="auto" w:sz="4" w:space="0"/>
              <w:right w:val="single" w:color="auto" w:sz="4" w:space="0"/>
            </w:tcBorders>
            <w:vAlign w:val="center"/>
          </w:tcPr>
          <w:p>
            <w:pPr>
              <w:jc w:val="left"/>
              <w:rPr>
                <w:rFonts w:ascii="宋体" w:hAnsi="宋体" w:cs="宋体"/>
                <w:bCs/>
                <w:sz w:val="24"/>
              </w:rPr>
            </w:pPr>
          </w:p>
        </w:tc>
        <w:tc>
          <w:tcPr>
            <w:tcW w:w="68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1012"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trHeight w:val="505" w:hRule="atLeast"/>
          <w:jc w:val="center"/>
        </w:trPr>
        <w:tc>
          <w:tcPr>
            <w:tcW w:w="7568"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sz w:val="24"/>
              </w:rPr>
            </w:pPr>
            <w:r>
              <w:rPr>
                <w:rFonts w:hint="eastAsia" w:ascii="宋体" w:hAnsi="宋体" w:cs="宋体"/>
                <w:bCs/>
                <w:sz w:val="24"/>
              </w:rPr>
              <w:t>安装调试费、税收及其它费用</w:t>
            </w:r>
          </w:p>
        </w:tc>
        <w:tc>
          <w:tcPr>
            <w:tcW w:w="1012"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c>
          <w:tcPr>
            <w:tcW w:w="618"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p>
        </w:tc>
      </w:tr>
      <w:tr>
        <w:tblPrEx>
          <w:tblCellMar>
            <w:top w:w="0" w:type="dxa"/>
            <w:left w:w="108" w:type="dxa"/>
            <w:bottom w:w="0" w:type="dxa"/>
            <w:right w:w="108" w:type="dxa"/>
          </w:tblCellMar>
        </w:tblPrEx>
        <w:trPr>
          <w:jc w:val="center"/>
        </w:trPr>
        <w:tc>
          <w:tcPr>
            <w:tcW w:w="7568" w:type="dxa"/>
            <w:gridSpan w:val="6"/>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宋体"/>
                <w:bCs/>
                <w:sz w:val="24"/>
              </w:rPr>
            </w:pPr>
            <w:r>
              <w:rPr>
                <w:rFonts w:hint="eastAsia" w:ascii="宋体" w:hAnsi="宋体" w:cs="宋体"/>
                <w:bCs/>
                <w:sz w:val="24"/>
              </w:rPr>
              <w:t>合计</w:t>
            </w:r>
          </w:p>
        </w:tc>
        <w:tc>
          <w:tcPr>
            <w:tcW w:w="1630" w:type="dxa"/>
            <w:gridSpan w:val="2"/>
            <w:tcBorders>
              <w:top w:val="single" w:color="auto" w:sz="4" w:space="0"/>
              <w:left w:val="nil"/>
              <w:bottom w:val="single" w:color="auto" w:sz="4" w:space="0"/>
              <w:right w:val="single" w:color="auto" w:sz="4" w:space="0"/>
            </w:tcBorders>
            <w:vAlign w:val="center"/>
          </w:tcPr>
          <w:p>
            <w:pPr>
              <w:spacing w:line="336" w:lineRule="auto"/>
              <w:jc w:val="center"/>
              <w:rPr>
                <w:rFonts w:ascii="宋体" w:hAnsi="宋体" w:cs="宋体"/>
                <w:bCs/>
                <w:sz w:val="24"/>
              </w:rPr>
            </w:pPr>
          </w:p>
        </w:tc>
      </w:tr>
      <w:tr>
        <w:tblPrEx>
          <w:tblCellMar>
            <w:top w:w="0" w:type="dxa"/>
            <w:left w:w="108" w:type="dxa"/>
            <w:bottom w:w="0" w:type="dxa"/>
            <w:right w:w="108" w:type="dxa"/>
          </w:tblCellMar>
        </w:tblPrEx>
        <w:trPr>
          <w:jc w:val="center"/>
        </w:trPr>
        <w:tc>
          <w:tcPr>
            <w:tcW w:w="9198" w:type="dxa"/>
            <w:gridSpan w:val="8"/>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hAnsi="宋体" w:cs="宋体"/>
                <w:bCs/>
                <w:sz w:val="24"/>
              </w:rPr>
            </w:pPr>
            <w:r>
              <w:rPr>
                <w:rFonts w:hint="eastAsia" w:ascii="宋体" w:hAnsi="宋体" w:cs="宋体"/>
                <w:bCs/>
                <w:sz w:val="24"/>
              </w:rPr>
              <w:t>合同价款大写：</w:t>
            </w:r>
          </w:p>
        </w:tc>
      </w:tr>
      <w:tr>
        <w:tblPrEx>
          <w:tblCellMar>
            <w:top w:w="0" w:type="dxa"/>
            <w:left w:w="108" w:type="dxa"/>
            <w:bottom w:w="0" w:type="dxa"/>
            <w:right w:w="108" w:type="dxa"/>
          </w:tblCellMar>
        </w:tblPrEx>
        <w:trPr>
          <w:jc w:val="center"/>
        </w:trPr>
        <w:tc>
          <w:tcPr>
            <w:tcW w:w="9198" w:type="dxa"/>
            <w:gridSpan w:val="8"/>
            <w:tcBorders>
              <w:top w:val="single" w:color="auto" w:sz="4" w:space="0"/>
              <w:left w:val="single" w:color="auto" w:sz="4" w:space="0"/>
              <w:bottom w:val="single" w:color="auto" w:sz="4" w:space="0"/>
              <w:right w:val="single" w:color="auto" w:sz="4" w:space="0"/>
            </w:tcBorders>
            <w:vAlign w:val="center"/>
          </w:tcPr>
          <w:p>
            <w:pPr>
              <w:spacing w:line="336" w:lineRule="auto"/>
              <w:jc w:val="left"/>
              <w:rPr>
                <w:rFonts w:ascii="宋体" w:hAnsi="宋体" w:cs="宋体"/>
                <w:bCs/>
                <w:sz w:val="24"/>
              </w:rPr>
            </w:pPr>
            <w:r>
              <w:rPr>
                <w:rFonts w:hint="eastAsia" w:ascii="宋体" w:hAnsi="宋体" w:cs="宋体"/>
                <w:bCs/>
                <w:sz w:val="24"/>
              </w:rPr>
              <w:t>注：具体参数和规格另附报价清单投标版。</w:t>
            </w:r>
          </w:p>
        </w:tc>
      </w:tr>
    </w:tbl>
    <w:p>
      <w:pPr>
        <w:snapToGrid w:val="0"/>
        <w:spacing w:line="360" w:lineRule="auto"/>
        <w:ind w:firstLine="480" w:firstLineChars="200"/>
        <w:rPr>
          <w:rFonts w:ascii="宋体" w:hAnsi="宋体" w:cs="宋体"/>
          <w:bCs/>
          <w:sz w:val="24"/>
        </w:rPr>
      </w:pPr>
      <w:r>
        <w:rPr>
          <w:rFonts w:hint="eastAsia" w:ascii="宋体" w:hAnsi="宋体" w:cs="宋体"/>
          <w:bCs/>
          <w:sz w:val="24"/>
        </w:rPr>
        <w:t>合同价款包括设备费、产品演示产生的费用、材料费、保管费、安装调试费、运输费、税收、售后服务、采购需求中未提到但在实际采购和安装过程中需要配置的各种设备、材料及其他费用等须由投标人支付的所有费用。</w:t>
      </w:r>
    </w:p>
    <w:p>
      <w:pPr>
        <w:snapToGrid w:val="0"/>
        <w:spacing w:line="360" w:lineRule="auto"/>
        <w:rPr>
          <w:rFonts w:ascii="宋体" w:hAnsi="宋体" w:cs="宋体"/>
          <w:sz w:val="24"/>
        </w:rPr>
      </w:pPr>
      <w:r>
        <w:rPr>
          <w:rFonts w:hint="eastAsia" w:ascii="宋体" w:hAnsi="宋体" w:cs="宋体"/>
          <w:sz w:val="24"/>
        </w:rPr>
        <w:t>二、技术资料</w:t>
      </w:r>
    </w:p>
    <w:p>
      <w:pPr>
        <w:snapToGrid w:val="0"/>
        <w:spacing w:line="360" w:lineRule="auto"/>
        <w:ind w:firstLine="480" w:firstLineChars="200"/>
        <w:rPr>
          <w:rFonts w:ascii="宋体" w:hAnsi="宋体" w:cs="宋体"/>
          <w:sz w:val="24"/>
        </w:rPr>
      </w:pPr>
      <w:r>
        <w:rPr>
          <w:rFonts w:hint="eastAsia" w:ascii="宋体" w:hAnsi="宋体" w:cs="宋体"/>
          <w:sz w:val="24"/>
        </w:rPr>
        <w:t>1.乙方应按招标文件规定的时间向甲方提供使用货物的有关技术资料。</w:t>
      </w:r>
    </w:p>
    <w:p>
      <w:pPr>
        <w:snapToGrid w:val="0"/>
        <w:spacing w:line="360" w:lineRule="auto"/>
        <w:ind w:firstLine="480" w:firstLineChars="200"/>
        <w:rPr>
          <w:rFonts w:ascii="宋体" w:hAnsi="宋体" w:cs="宋体"/>
          <w:sz w:val="24"/>
        </w:rPr>
      </w:pPr>
      <w:r>
        <w:rPr>
          <w:rFonts w:hint="eastAsia" w:ascii="宋体" w:hAnsi="宋体" w:cs="宋体"/>
          <w:sz w:val="24"/>
        </w:rPr>
        <w:t>2.未经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410" w:hanging="410" w:hangingChars="171"/>
        <w:rPr>
          <w:rFonts w:ascii="宋体" w:hAnsi="宋体" w:cs="宋体"/>
          <w:sz w:val="24"/>
        </w:rPr>
      </w:pPr>
      <w:r>
        <w:rPr>
          <w:rFonts w:hint="eastAsia" w:ascii="宋体" w:hAnsi="宋体" w:cs="宋体"/>
          <w:sz w:val="24"/>
        </w:rPr>
        <w:t>三、权利担保</w:t>
      </w:r>
    </w:p>
    <w:p>
      <w:pPr>
        <w:snapToGrid w:val="0"/>
        <w:spacing w:line="360" w:lineRule="auto"/>
        <w:ind w:firstLine="480" w:firstLineChars="200"/>
        <w:rPr>
          <w:rFonts w:ascii="宋体" w:hAnsi="宋体" w:cs="宋体"/>
          <w:sz w:val="24"/>
        </w:rPr>
      </w:pPr>
      <w:r>
        <w:rPr>
          <w:rFonts w:hint="eastAsia" w:ascii="宋体" w:hAnsi="宋体" w:cs="宋体"/>
          <w:sz w:val="24"/>
        </w:rPr>
        <w:t>1. 乙方确认所提供的货物整体或任何必要性配件均不存在侵犯任何第三方知识产权的情况。</w:t>
      </w:r>
    </w:p>
    <w:p>
      <w:pPr>
        <w:snapToGrid w:val="0"/>
        <w:spacing w:line="360" w:lineRule="auto"/>
        <w:ind w:firstLine="480" w:firstLineChars="200"/>
        <w:rPr>
          <w:rFonts w:ascii="宋体" w:hAnsi="宋体" w:cs="宋体"/>
          <w:sz w:val="24"/>
        </w:rPr>
      </w:pPr>
      <w:r>
        <w:rPr>
          <w:rFonts w:hint="eastAsia" w:ascii="宋体" w:hAnsi="宋体" w:cs="宋体"/>
          <w:sz w:val="24"/>
        </w:rPr>
        <w:t>2. 乙方保证所交付的货物的所有权完全属于乙方且无任何权利瑕疵（包括但不限于抵押、查封等）。</w:t>
      </w:r>
    </w:p>
    <w:p>
      <w:pPr>
        <w:snapToGrid w:val="0"/>
        <w:spacing w:line="360" w:lineRule="auto"/>
        <w:ind w:left="408" w:hanging="408" w:hangingChars="170"/>
        <w:rPr>
          <w:rFonts w:ascii="宋体" w:hAnsi="宋体" w:cs="宋体"/>
          <w:sz w:val="24"/>
        </w:rPr>
      </w:pPr>
      <w:r>
        <w:rPr>
          <w:rFonts w:hint="eastAsia" w:ascii="宋体" w:hAnsi="宋体" w:cs="宋体"/>
          <w:sz w:val="24"/>
        </w:rPr>
        <w:t>四、履约保证金</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中标单位在与采购人签订的</w:t>
      </w:r>
      <w:r>
        <w:rPr>
          <w:rFonts w:hint="eastAsia" w:ascii="宋体" w:hAnsi="宋体" w:cs="宋体"/>
          <w:sz w:val="24"/>
        </w:rPr>
        <w:t>《2023年度余杭区教育系统课桌椅规模化采购项目供货协议》</w:t>
      </w:r>
      <w:r>
        <w:rPr>
          <w:rFonts w:hint="eastAsia" w:ascii="宋体" w:hAnsi="宋体" w:cs="宋体"/>
          <w:kern w:val="0"/>
          <w:sz w:val="24"/>
        </w:rPr>
        <w:t>生效后7个工作日内向采购人交纳合同金额的1%的履约保证金。履约保证金在验收合格后采购人予以无息退还。</w:t>
      </w:r>
    </w:p>
    <w:p>
      <w:pPr>
        <w:snapToGrid w:val="0"/>
        <w:spacing w:line="360" w:lineRule="auto"/>
        <w:ind w:left="408" w:hanging="408" w:hangingChars="170"/>
        <w:jc w:val="left"/>
        <w:rPr>
          <w:rFonts w:ascii="宋体" w:hAnsi="宋体" w:cs="宋体"/>
          <w:sz w:val="24"/>
        </w:rPr>
      </w:pPr>
      <w:r>
        <w:rPr>
          <w:rFonts w:hint="eastAsia" w:ascii="宋体" w:hAnsi="宋体" w:cs="宋体"/>
          <w:sz w:val="24"/>
        </w:rPr>
        <w:t xml:space="preserve">五、转包或分包 </w:t>
      </w:r>
    </w:p>
    <w:p>
      <w:pPr>
        <w:snapToGrid w:val="0"/>
        <w:spacing w:line="360" w:lineRule="auto"/>
        <w:ind w:firstLine="480" w:firstLineChars="200"/>
        <w:rPr>
          <w:rFonts w:ascii="宋体" w:hAnsi="宋体" w:cs="宋体"/>
          <w:sz w:val="24"/>
        </w:rPr>
      </w:pPr>
      <w:r>
        <w:rPr>
          <w:rFonts w:hint="eastAsia" w:ascii="宋体" w:hAnsi="宋体" w:cs="宋体"/>
          <w:sz w:val="24"/>
        </w:rPr>
        <w:t>1.本合同范围的货物，应由乙方直接供应，不得转让他人供应；</w:t>
      </w:r>
    </w:p>
    <w:p>
      <w:pPr>
        <w:snapToGrid w:val="0"/>
        <w:spacing w:line="360" w:lineRule="auto"/>
        <w:ind w:firstLine="480" w:firstLineChars="200"/>
        <w:rPr>
          <w:rFonts w:ascii="宋体" w:hAnsi="宋体" w:cs="宋体"/>
          <w:sz w:val="24"/>
        </w:rPr>
      </w:pPr>
      <w:r>
        <w:rPr>
          <w:rFonts w:hint="eastAsia" w:ascii="宋体" w:hAnsi="宋体" w:cs="宋体"/>
          <w:sz w:val="24"/>
        </w:rPr>
        <w:t>2.除非得到甲方的书面同意，乙方不得将本合同范围的货物全部或部分分包给他人供应；</w:t>
      </w:r>
    </w:p>
    <w:p>
      <w:pPr>
        <w:snapToGrid w:val="0"/>
        <w:spacing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snapToGrid w:val="0"/>
        <w:spacing w:line="360" w:lineRule="auto"/>
        <w:rPr>
          <w:rFonts w:ascii="宋体" w:hAnsi="宋体" w:cs="宋体"/>
          <w:sz w:val="24"/>
        </w:rPr>
      </w:pPr>
      <w:r>
        <w:rPr>
          <w:rFonts w:hint="eastAsia" w:ascii="宋体" w:hAnsi="宋体" w:cs="宋体"/>
          <w:sz w:val="24"/>
        </w:rPr>
        <w:t>六、质保期</w:t>
      </w:r>
    </w:p>
    <w:p>
      <w:pPr>
        <w:snapToGrid w:val="0"/>
        <w:spacing w:line="360" w:lineRule="auto"/>
        <w:ind w:firstLine="480" w:firstLineChars="200"/>
        <w:rPr>
          <w:rFonts w:ascii="宋体" w:hAnsi="宋体" w:cs="宋体"/>
          <w:sz w:val="24"/>
        </w:rPr>
      </w:pPr>
      <w:r>
        <w:rPr>
          <w:rFonts w:hint="eastAsia" w:ascii="宋体" w:hAnsi="宋体" w:cs="宋体"/>
          <w:sz w:val="24"/>
        </w:rPr>
        <w:t>质保期原厂   年。质保期内，因人为因素出现的故障不在免费保修范围内，超过质保期的机器设备，终生维修，维修时只收部件成本费。</w:t>
      </w:r>
    </w:p>
    <w:p>
      <w:pPr>
        <w:snapToGrid w:val="0"/>
        <w:spacing w:line="360" w:lineRule="auto"/>
        <w:rPr>
          <w:rFonts w:ascii="宋体" w:hAnsi="宋体" w:cs="宋体"/>
          <w:sz w:val="24"/>
        </w:rPr>
      </w:pPr>
      <w:r>
        <w:rPr>
          <w:rFonts w:hint="eastAsia" w:ascii="宋体" w:hAnsi="宋体" w:cs="宋体"/>
          <w:sz w:val="24"/>
        </w:rPr>
        <w:t>七、交货期、交货方式及交货地点</w:t>
      </w:r>
    </w:p>
    <w:p>
      <w:pPr>
        <w:spacing w:line="360" w:lineRule="auto"/>
        <w:ind w:firstLine="480" w:firstLineChars="200"/>
        <w:rPr>
          <w:rFonts w:ascii="宋体" w:hAnsi="宋体" w:cs="宋体"/>
          <w:sz w:val="24"/>
        </w:rPr>
      </w:pPr>
      <w:r>
        <w:rPr>
          <w:rFonts w:hint="eastAsia" w:ascii="宋体" w:hAnsi="宋体" w:cs="宋体"/>
          <w:sz w:val="24"/>
        </w:rPr>
        <w:t>1.交货期：</w:t>
      </w:r>
      <w:r>
        <w:rPr>
          <w:rFonts w:hint="eastAsia" w:ascii="宋体" w:hAnsi="宋体" w:cs="宋体"/>
          <w:kern w:val="0"/>
          <w:sz w:val="24"/>
        </w:rPr>
        <w:t>原则上2023年7月31日前完成供货、安装调试及学校初步验收。具体安装时间可与学校协商，但不得影响学校正常教学使用。</w:t>
      </w:r>
    </w:p>
    <w:p>
      <w:pPr>
        <w:spacing w:line="360" w:lineRule="auto"/>
        <w:ind w:firstLine="480" w:firstLineChars="200"/>
        <w:rPr>
          <w:rFonts w:ascii="宋体" w:hAnsi="宋体" w:cs="宋体"/>
          <w:sz w:val="24"/>
        </w:rPr>
      </w:pPr>
      <w:r>
        <w:rPr>
          <w:rFonts w:hint="eastAsia" w:ascii="宋体" w:hAnsi="宋体" w:cs="宋体"/>
          <w:sz w:val="24"/>
        </w:rPr>
        <w:t>2.交货方式：设备安装调试完毕后，能在其功能范围内保障用户的系统安全、稳定运行。</w:t>
      </w:r>
    </w:p>
    <w:p>
      <w:pPr>
        <w:spacing w:line="360" w:lineRule="auto"/>
        <w:ind w:firstLine="480" w:firstLineChars="200"/>
        <w:rPr>
          <w:rFonts w:ascii="宋体" w:hAnsi="宋体" w:cs="宋体"/>
          <w:sz w:val="24"/>
        </w:rPr>
      </w:pPr>
      <w:r>
        <w:rPr>
          <w:rFonts w:hint="eastAsia" w:ascii="宋体" w:hAnsi="宋体" w:cs="宋体"/>
          <w:sz w:val="24"/>
        </w:rPr>
        <w:t>3.交货地点：甲方指定学校。</w:t>
      </w:r>
    </w:p>
    <w:p>
      <w:pPr>
        <w:snapToGrid w:val="0"/>
        <w:spacing w:line="360" w:lineRule="auto"/>
        <w:rPr>
          <w:rFonts w:ascii="宋体" w:hAnsi="宋体" w:cs="宋体"/>
          <w:sz w:val="24"/>
        </w:rPr>
      </w:pPr>
      <w:r>
        <w:rPr>
          <w:rFonts w:hint="eastAsia" w:ascii="宋体" w:hAnsi="宋体" w:cs="宋体"/>
          <w:sz w:val="24"/>
        </w:rPr>
        <w:t>八、货款支付</w:t>
      </w:r>
    </w:p>
    <w:p>
      <w:pPr>
        <w:snapToGrid w:val="0"/>
        <w:spacing w:line="360" w:lineRule="auto"/>
        <w:ind w:firstLine="480" w:firstLineChars="200"/>
        <w:rPr>
          <w:rFonts w:ascii="宋体" w:hAnsi="宋体" w:cs="宋体"/>
          <w:kern w:val="0"/>
          <w:sz w:val="24"/>
        </w:rPr>
      </w:pPr>
      <w:r>
        <w:rPr>
          <w:rFonts w:hint="eastAsia" w:ascii="宋体" w:hAnsi="宋体" w:cs="宋体"/>
          <w:sz w:val="24"/>
        </w:rPr>
        <w:t>《2023年度余杭区教育系统课桌椅规模化采购项目供货协议》</w:t>
      </w:r>
      <w:r>
        <w:rPr>
          <w:rFonts w:hint="eastAsia" w:ascii="宋体" w:hAnsi="宋体" w:cs="宋体"/>
          <w:kern w:val="0"/>
          <w:sz w:val="24"/>
        </w:rPr>
        <w:t>签订生效及具备实施条件后7个工作日内，向中标单位支付合同金额50％的预付款。中标单位向采购人提供有效发票且最终验收合格后，采购人向中标单位支付剩余货款。</w:t>
      </w:r>
    </w:p>
    <w:p>
      <w:pPr>
        <w:snapToGrid w:val="0"/>
        <w:spacing w:line="360" w:lineRule="auto"/>
        <w:rPr>
          <w:rFonts w:ascii="宋体" w:hAnsi="宋体" w:cs="宋体"/>
          <w:bCs/>
          <w:sz w:val="24"/>
        </w:rPr>
      </w:pPr>
      <w:r>
        <w:rPr>
          <w:rFonts w:hint="eastAsia" w:ascii="宋体" w:hAnsi="宋体" w:cs="宋体"/>
          <w:bCs/>
          <w:sz w:val="24"/>
        </w:rPr>
        <w:t>九、税费</w:t>
      </w:r>
    </w:p>
    <w:p>
      <w:pPr>
        <w:snapToGrid w:val="0"/>
        <w:spacing w:line="360" w:lineRule="auto"/>
        <w:ind w:firstLine="410" w:firstLineChars="171"/>
        <w:rPr>
          <w:rFonts w:ascii="宋体" w:hAnsi="宋体" w:cs="宋体"/>
          <w:sz w:val="24"/>
        </w:rPr>
      </w:pPr>
      <w:r>
        <w:rPr>
          <w:rFonts w:hint="eastAsia" w:ascii="宋体" w:hAnsi="宋体" w:cs="宋体"/>
          <w:sz w:val="24"/>
        </w:rPr>
        <w:t>本合同执行中相关的一切税费均由乙方负担。</w:t>
      </w:r>
    </w:p>
    <w:p>
      <w:pPr>
        <w:snapToGrid w:val="0"/>
        <w:spacing w:line="360" w:lineRule="auto"/>
        <w:ind w:left="410" w:hanging="410" w:hangingChars="171"/>
        <w:rPr>
          <w:rFonts w:ascii="宋体" w:hAnsi="宋体" w:cs="宋体"/>
          <w:bCs/>
          <w:sz w:val="24"/>
        </w:rPr>
      </w:pPr>
      <w:r>
        <w:rPr>
          <w:rFonts w:hint="eastAsia" w:ascii="宋体" w:hAnsi="宋体" w:cs="宋体"/>
          <w:bCs/>
          <w:sz w:val="24"/>
        </w:rPr>
        <w:t>十、质量保证及售后服务</w:t>
      </w:r>
    </w:p>
    <w:p>
      <w:pPr>
        <w:snapToGrid w:val="0"/>
        <w:spacing w:line="360" w:lineRule="auto"/>
        <w:ind w:firstLine="480" w:firstLineChars="200"/>
        <w:rPr>
          <w:rFonts w:ascii="宋体" w:hAnsi="宋体" w:cs="宋体"/>
          <w:sz w:val="24"/>
        </w:rPr>
      </w:pPr>
      <w:r>
        <w:rPr>
          <w:rFonts w:hint="eastAsia" w:ascii="宋体" w:hAnsi="宋体" w:cs="宋体"/>
          <w:sz w:val="24"/>
        </w:rPr>
        <w:t>1.中标单位必须保证所有货物是未经使用、全新的，且符合招标文件规定及乙方投标文件承诺的货物性能、技术要求、质量标准。</w:t>
      </w:r>
    </w:p>
    <w:p>
      <w:pPr>
        <w:snapToGrid w:val="0"/>
        <w:spacing w:line="360" w:lineRule="auto"/>
        <w:ind w:firstLine="480" w:firstLineChars="200"/>
        <w:rPr>
          <w:rFonts w:ascii="宋体" w:hAnsi="宋体" w:cs="宋体"/>
          <w:sz w:val="24"/>
        </w:rPr>
      </w:pPr>
      <w:r>
        <w:rPr>
          <w:rFonts w:hint="eastAsia" w:ascii="宋体" w:hAnsi="宋体" w:cs="宋体"/>
          <w:sz w:val="24"/>
        </w:rPr>
        <w:t>2.在质保期内，乙方应对货物出现的质量及安全问题负责处理解决并承担一切费用。</w:t>
      </w:r>
    </w:p>
    <w:p>
      <w:pPr>
        <w:snapToGrid w:val="0"/>
        <w:spacing w:line="360" w:lineRule="auto"/>
        <w:rPr>
          <w:rFonts w:ascii="宋体" w:hAnsi="宋体" w:cs="宋体"/>
          <w:sz w:val="24"/>
        </w:rPr>
      </w:pPr>
      <w:r>
        <w:rPr>
          <w:rFonts w:hint="eastAsia" w:ascii="宋体" w:hAnsi="宋体" w:cs="宋体"/>
          <w:sz w:val="24"/>
        </w:rPr>
        <w:t>十一、货物包装、发运及运输</w:t>
      </w:r>
    </w:p>
    <w:p>
      <w:pPr>
        <w:snapToGrid w:val="0"/>
        <w:spacing w:line="360" w:lineRule="auto"/>
        <w:ind w:firstLine="480" w:firstLineChars="200"/>
        <w:rPr>
          <w:rFonts w:ascii="宋体" w:hAnsi="宋体" w:cs="宋体"/>
          <w:sz w:val="24"/>
        </w:rPr>
      </w:pPr>
      <w:r>
        <w:rPr>
          <w:rFonts w:hint="eastAsia" w:ascii="宋体" w:hAnsi="宋体" w:cs="宋体"/>
          <w:sz w:val="24"/>
        </w:rPr>
        <w:t>1.乙方应在货物发运前对其进行满足运输距离、防潮、防震、防锈和防破损装卸等要求包装，以保证货物安全运达甲方指定地点。</w:t>
      </w:r>
    </w:p>
    <w:p>
      <w:pPr>
        <w:snapToGrid w:val="0"/>
        <w:spacing w:line="360" w:lineRule="auto"/>
        <w:ind w:firstLine="480" w:firstLineChars="200"/>
        <w:rPr>
          <w:rFonts w:ascii="宋体" w:hAnsi="宋体" w:cs="宋体"/>
          <w:sz w:val="24"/>
        </w:rPr>
      </w:pPr>
      <w:r>
        <w:rPr>
          <w:rFonts w:hint="eastAsia" w:ascii="宋体" w:hAnsi="宋体" w:cs="宋体"/>
          <w:sz w:val="24"/>
        </w:rPr>
        <w:t>2.使用说明书、质量检验证明书、随配附件和工具以及清单一并附于货物内。</w:t>
      </w:r>
    </w:p>
    <w:p>
      <w:pPr>
        <w:snapToGrid w:val="0"/>
        <w:spacing w:line="360" w:lineRule="auto"/>
        <w:ind w:firstLine="480" w:firstLineChars="200"/>
        <w:rPr>
          <w:rFonts w:ascii="宋体" w:hAnsi="宋体" w:cs="宋体"/>
          <w:sz w:val="24"/>
        </w:rPr>
      </w:pPr>
      <w:r>
        <w:rPr>
          <w:rFonts w:hint="eastAsia" w:ascii="宋体" w:hAnsi="宋体" w:cs="宋体"/>
          <w:sz w:val="24"/>
        </w:rPr>
        <w:t>3.货物在交付甲方前发生的风险均由乙方负责。</w:t>
      </w:r>
    </w:p>
    <w:p>
      <w:pPr>
        <w:rPr>
          <w:rFonts w:ascii="宋体" w:hAnsi="宋体"/>
          <w:sz w:val="24"/>
        </w:rPr>
      </w:pPr>
      <w:r>
        <w:rPr>
          <w:rFonts w:hint="eastAsia" w:ascii="宋体" w:hAnsi="宋体"/>
          <w:sz w:val="24"/>
        </w:rPr>
        <w:t xml:space="preserve">   </w:t>
      </w:r>
      <w:r>
        <w:rPr>
          <w:rFonts w:hint="eastAsia" w:ascii="宋体" w:hAnsi="宋体" w:cs="宋体"/>
          <w:sz w:val="24"/>
        </w:rPr>
        <w:t xml:space="preserve"> 4.如在使用过程中发生质量问题，乙方应按投标文件售后服务承诺的要求在接到甲方通知后10分钟内响应，1小时以内到现场处理，2小时内解决问题，现场不能修复的，采取无偿提供采购物品的备用件或整机等措施，以保证用户单位的正常使用。</w:t>
      </w:r>
    </w:p>
    <w:p>
      <w:pPr>
        <w:snapToGrid w:val="0"/>
        <w:spacing w:line="360" w:lineRule="auto"/>
        <w:rPr>
          <w:rFonts w:ascii="宋体" w:hAnsi="宋体" w:cs="宋体"/>
          <w:sz w:val="24"/>
        </w:rPr>
      </w:pPr>
      <w:r>
        <w:rPr>
          <w:rFonts w:hint="eastAsia" w:ascii="宋体" w:hAnsi="宋体" w:cs="宋体"/>
          <w:sz w:val="24"/>
        </w:rPr>
        <w:t>十二、调试和验收</w:t>
      </w:r>
    </w:p>
    <w:p>
      <w:pPr>
        <w:snapToGrid w:val="0"/>
        <w:spacing w:line="360" w:lineRule="auto"/>
        <w:ind w:firstLine="480" w:firstLineChars="200"/>
        <w:rPr>
          <w:rFonts w:ascii="宋体" w:hAnsi="宋体" w:cs="宋体"/>
          <w:bCs/>
          <w:sz w:val="24"/>
        </w:rPr>
      </w:pPr>
      <w:r>
        <w:rPr>
          <w:rFonts w:hint="eastAsia" w:ascii="宋体" w:hAnsi="宋体" w:cs="宋体"/>
          <w:bCs/>
          <w:sz w:val="24"/>
        </w:rPr>
        <w:t>1.根据余财采〔2020〕14号《关于转发《杭州市政府采购履约验收暂行办法》的通知》精神，组织验收。</w:t>
      </w:r>
    </w:p>
    <w:p>
      <w:pPr>
        <w:spacing w:line="360" w:lineRule="auto"/>
        <w:ind w:right="62" w:firstLine="480" w:firstLineChars="200"/>
        <w:rPr>
          <w:rFonts w:ascii="宋体" w:hAnsi="宋体" w:cs="宋体"/>
          <w:sz w:val="24"/>
        </w:rPr>
      </w:pPr>
      <w:r>
        <w:rPr>
          <w:rFonts w:hint="eastAsia" w:ascii="宋体" w:hAnsi="宋体" w:cs="宋体"/>
          <w:sz w:val="24"/>
        </w:rPr>
        <w:t>2.检验验收依据。</w:t>
      </w:r>
      <w:r>
        <w:rPr>
          <w:rFonts w:hint="eastAsia" w:ascii="宋体" w:hAnsi="宋体" w:cs="宋体"/>
          <w:bCs/>
          <w:sz w:val="24"/>
        </w:rPr>
        <w:t>课桌椅力学性能要求，按照QB/T 4071-2021第5.6条要求，桌面垂直静载荷不小于1000N，桌面垂直耐久性不小于600N、10000次；课桌椅其他安全性能能达到QB/T 4071-2021第5.5条的要求；座椅、桌面面板符合QB/T 4071-2021第5.4条耐污染、耐老化和GB 28481-2012要求；金属材质喷涂层、电镀层按4071-2021第5.4条要求；有害物含量（甲醛释放量、表面涂层有害物质、塑料件有害物质限量）按照QB/T 4071-2021第5.7条：塑粉符合GB 28481-2012要求</w:t>
      </w:r>
      <w:r>
        <w:rPr>
          <w:rFonts w:hint="eastAsia" w:ascii="宋体" w:hAnsi="宋体" w:cs="宋体"/>
          <w:sz w:val="24"/>
        </w:rPr>
        <w:t>。</w:t>
      </w:r>
    </w:p>
    <w:p>
      <w:pPr>
        <w:snapToGrid w:val="0"/>
        <w:spacing w:line="360" w:lineRule="auto"/>
        <w:ind w:firstLine="480" w:firstLineChars="200"/>
        <w:rPr>
          <w:rFonts w:ascii="宋体" w:hAnsi="宋体" w:cs="宋体"/>
          <w:bCs/>
          <w:sz w:val="24"/>
        </w:rPr>
      </w:pPr>
      <w:r>
        <w:rPr>
          <w:rFonts w:hint="eastAsia" w:ascii="宋体" w:hAnsi="宋体" w:cs="宋体"/>
          <w:bCs/>
          <w:sz w:val="24"/>
        </w:rPr>
        <w:t>3.供货完成后，学校先行试用。初验完成后，组织终验，最终验收不合格，中标方整改，由此所产生的所有损失由中标单位承担（包括验收评审费用等）。</w:t>
      </w:r>
    </w:p>
    <w:p>
      <w:pPr>
        <w:snapToGrid w:val="0"/>
        <w:spacing w:line="360" w:lineRule="auto"/>
        <w:rPr>
          <w:rFonts w:ascii="宋体" w:hAnsi="宋体" w:cs="宋体"/>
          <w:sz w:val="24"/>
        </w:rPr>
      </w:pPr>
      <w:r>
        <w:rPr>
          <w:rFonts w:hint="eastAsia" w:ascii="宋体" w:hAnsi="宋体" w:cs="宋体"/>
          <w:sz w:val="24"/>
        </w:rPr>
        <w:t>十三、违约责任</w:t>
      </w:r>
    </w:p>
    <w:p>
      <w:pPr>
        <w:snapToGrid w:val="0"/>
        <w:spacing w:line="360" w:lineRule="auto"/>
        <w:ind w:firstLine="480" w:firstLineChars="200"/>
        <w:rPr>
          <w:rFonts w:ascii="宋体" w:hAnsi="宋体" w:cs="宋体"/>
          <w:sz w:val="24"/>
        </w:rPr>
      </w:pPr>
      <w:r>
        <w:rPr>
          <w:rFonts w:hint="eastAsia" w:ascii="宋体" w:hAnsi="宋体" w:cs="宋体"/>
          <w:sz w:val="24"/>
        </w:rPr>
        <w:t>1.甲方无正当理由拒收货物的，甲方向乙方偿付拒收货款总值的5%违约金。</w:t>
      </w:r>
    </w:p>
    <w:p>
      <w:pPr>
        <w:snapToGrid w:val="0"/>
        <w:spacing w:line="360" w:lineRule="auto"/>
        <w:ind w:firstLine="480" w:firstLineChars="200"/>
        <w:rPr>
          <w:rFonts w:ascii="宋体" w:hAnsi="宋体" w:cs="宋体"/>
          <w:sz w:val="24"/>
        </w:rPr>
      </w:pPr>
      <w:r>
        <w:rPr>
          <w:rFonts w:hint="eastAsia" w:ascii="宋体" w:hAnsi="宋体" w:cs="宋体"/>
          <w:sz w:val="24"/>
        </w:rPr>
        <w:t>2.甲方无故逾期验收和办理货款支付手续的，甲方应按逾期付款总额每日万分之五向乙方支付违约金。</w:t>
      </w:r>
    </w:p>
    <w:p>
      <w:pPr>
        <w:snapToGrid w:val="0"/>
        <w:spacing w:line="360" w:lineRule="auto"/>
        <w:ind w:firstLine="480" w:firstLineChars="200"/>
        <w:rPr>
          <w:rFonts w:ascii="宋体" w:hAnsi="宋体" w:cs="宋体"/>
          <w:sz w:val="24"/>
        </w:rPr>
      </w:pPr>
      <w:r>
        <w:rPr>
          <w:rFonts w:hint="eastAsia" w:ascii="宋体" w:hAnsi="宋体" w:cs="宋体"/>
          <w:sz w:val="24"/>
        </w:rPr>
        <w:t>3.乙方逾期交付货物的，乙方应按逾期交货总额每日千分之六向甲方支付违约金，由甲方从待付货款中扣除。逾期超过约定日期10个工作日不能交货的，甲方</w:t>
      </w:r>
      <w:r>
        <w:rPr>
          <w:rFonts w:hint="eastAsia" w:ascii="宋体" w:hAnsi="宋体" w:cs="宋体"/>
          <w:kern w:val="0"/>
          <w:sz w:val="24"/>
        </w:rPr>
        <w:t>有权立即单方解除</w:t>
      </w:r>
      <w:r>
        <w:rPr>
          <w:rFonts w:hint="eastAsia" w:ascii="宋体" w:hAnsi="宋体" w:cs="宋体"/>
          <w:sz w:val="24"/>
        </w:rPr>
        <w:t xml:space="preserve">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80" w:firstLineChars="200"/>
        <w:rPr>
          <w:rFonts w:ascii="宋体" w:hAnsi="宋体" w:cs="宋体"/>
          <w:sz w:val="24"/>
        </w:rPr>
      </w:pPr>
      <w:r>
        <w:rPr>
          <w:rFonts w:hint="eastAsia" w:ascii="宋体" w:hAnsi="宋体" w:cs="宋体"/>
          <w:sz w:val="24"/>
        </w:rPr>
        <w:t>4.乙方所交的货物品种、型号、规格、技术参数、质量不符合合同规定</w:t>
      </w:r>
      <w:r>
        <w:rPr>
          <w:rFonts w:hint="eastAsia" w:ascii="宋体" w:hAnsi="宋体" w:cs="宋体"/>
          <w:kern w:val="0"/>
          <w:sz w:val="24"/>
        </w:rPr>
        <w:t>、招标文件规定标准以及投标文件承诺标准的，</w:t>
      </w:r>
      <w:r>
        <w:rPr>
          <w:rFonts w:hint="eastAsia" w:ascii="宋体" w:hAnsi="宋体" w:cs="宋体"/>
          <w:sz w:val="24"/>
        </w:rPr>
        <w:t>甲方有权拒收该货物，乙方愿意更换货物但逾期交货的，按乙方逾期交货处理。乙方拒绝更换货物的，甲方可单方面解除合同</w:t>
      </w:r>
      <w:r>
        <w:rPr>
          <w:rFonts w:hint="eastAsia" w:ascii="宋体" w:hAnsi="宋体" w:cs="宋体"/>
          <w:kern w:val="0"/>
          <w:sz w:val="24"/>
        </w:rPr>
        <w:t>并要求乙方承担违约责任</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5.属于保修范围的内容，乙方应当在接到保修通知之时起24小时内派人保修。乙方不在约定期限内派人保修的，甲方可以委托他人修理，所需费用按实在质保金中支出。</w:t>
      </w:r>
    </w:p>
    <w:p>
      <w:pPr>
        <w:snapToGrid w:val="0"/>
        <w:spacing w:line="360" w:lineRule="auto"/>
        <w:rPr>
          <w:rFonts w:ascii="宋体" w:hAnsi="宋体" w:cs="宋体"/>
          <w:sz w:val="24"/>
        </w:rPr>
      </w:pPr>
      <w:r>
        <w:rPr>
          <w:rFonts w:hint="eastAsia" w:ascii="宋体" w:hAnsi="宋体" w:cs="宋体"/>
          <w:sz w:val="24"/>
        </w:rPr>
        <w:t>十四、不可抗力事件处理</w:t>
      </w:r>
    </w:p>
    <w:p>
      <w:pPr>
        <w:snapToGrid w:val="0"/>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snapToGrid w:val="0"/>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snapToGrid w:val="0"/>
        <w:spacing w:line="360" w:lineRule="auto"/>
        <w:ind w:firstLine="480" w:firstLineChars="200"/>
        <w:rPr>
          <w:rFonts w:ascii="宋体" w:hAnsi="宋体" w:cs="宋体"/>
          <w:sz w:val="24"/>
        </w:rPr>
      </w:pPr>
      <w:r>
        <w:rPr>
          <w:rFonts w:hint="eastAsia" w:ascii="宋体" w:hAnsi="宋体" w:cs="宋体"/>
          <w:sz w:val="24"/>
        </w:rPr>
        <w:t>3.不可抗力事件延续120天以上，双方应通过友好协商，确定是否继续履行合同。</w:t>
      </w:r>
    </w:p>
    <w:p>
      <w:pPr>
        <w:snapToGrid w:val="0"/>
        <w:spacing w:line="360" w:lineRule="auto"/>
        <w:rPr>
          <w:rFonts w:ascii="宋体" w:hAnsi="宋体" w:cs="宋体"/>
          <w:sz w:val="24"/>
        </w:rPr>
      </w:pPr>
      <w:r>
        <w:rPr>
          <w:rFonts w:hint="eastAsia" w:ascii="宋体" w:hAnsi="宋体" w:cs="宋体"/>
          <w:sz w:val="24"/>
        </w:rPr>
        <w:t>十五、诉讼 双方在执行合同中所发生的一切争议，应通过协商解决。如协商不成，可向甲方所在地法院起诉。</w:t>
      </w:r>
    </w:p>
    <w:p>
      <w:pPr>
        <w:snapToGrid w:val="0"/>
        <w:spacing w:line="360" w:lineRule="auto"/>
        <w:rPr>
          <w:rFonts w:ascii="宋体" w:hAnsi="宋体" w:cs="宋体"/>
          <w:sz w:val="24"/>
        </w:rPr>
      </w:pPr>
      <w:r>
        <w:rPr>
          <w:rFonts w:hint="eastAsia" w:ascii="宋体" w:hAnsi="宋体" w:cs="宋体"/>
          <w:sz w:val="24"/>
        </w:rPr>
        <w:t>十六、合同生效及其它</w:t>
      </w:r>
    </w:p>
    <w:p>
      <w:pPr>
        <w:snapToGrid w:val="0"/>
        <w:spacing w:line="360" w:lineRule="auto"/>
        <w:ind w:firstLine="480" w:firstLineChars="200"/>
        <w:rPr>
          <w:rFonts w:ascii="宋体" w:hAnsi="宋体" w:cs="宋体"/>
          <w:sz w:val="24"/>
        </w:rPr>
      </w:pPr>
      <w:r>
        <w:rPr>
          <w:rFonts w:hint="eastAsia" w:ascii="宋体" w:hAnsi="宋体" w:cs="宋体"/>
          <w:sz w:val="24"/>
        </w:rPr>
        <w:t>1.招标文件、投标文件、更正公告、中标通知书、承诺函等均作为本合同组成部分，具有同等效力。</w:t>
      </w:r>
    </w:p>
    <w:p>
      <w:pPr>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kern w:val="0"/>
          <w:sz w:val="24"/>
        </w:rPr>
        <w:t>本合同条款中同时出现合同标准、招标文件标准、投标文件标准的，以三者中约定最高的为准。</w:t>
      </w:r>
    </w:p>
    <w:p>
      <w:pPr>
        <w:snapToGrid w:val="0"/>
        <w:spacing w:line="360" w:lineRule="auto"/>
        <w:ind w:firstLine="480" w:firstLineChars="200"/>
        <w:rPr>
          <w:rFonts w:ascii="宋体" w:hAnsi="宋体" w:cs="宋体"/>
          <w:sz w:val="24"/>
        </w:rPr>
      </w:pPr>
      <w:r>
        <w:rPr>
          <w:rFonts w:hint="eastAsia" w:ascii="宋体" w:hAnsi="宋体" w:cs="宋体"/>
          <w:sz w:val="24"/>
        </w:rPr>
        <w:t>3.合同经双方法定代表人或其授权代表签字并加盖单位公章方可生效。</w:t>
      </w:r>
    </w:p>
    <w:p>
      <w:pPr>
        <w:snapToGrid w:val="0"/>
        <w:spacing w:line="360" w:lineRule="auto"/>
        <w:ind w:firstLine="480" w:firstLineChars="200"/>
        <w:rPr>
          <w:rFonts w:ascii="宋体" w:hAnsi="宋体" w:cs="宋体"/>
          <w:sz w:val="24"/>
        </w:rPr>
      </w:pPr>
      <w:r>
        <w:rPr>
          <w:rFonts w:hint="eastAsia" w:ascii="宋体" w:hAnsi="宋体" w:cs="宋体"/>
          <w:sz w:val="24"/>
        </w:rPr>
        <w:t>4.合同执行中涉及采购资金和采购内容修改或补充的，签书面补充协议，作为主合同不可分割的一部分。</w:t>
      </w:r>
    </w:p>
    <w:p>
      <w:pPr>
        <w:snapToGrid w:val="0"/>
        <w:spacing w:line="360" w:lineRule="auto"/>
        <w:ind w:firstLine="480" w:firstLineChars="200"/>
        <w:rPr>
          <w:rFonts w:ascii="宋体" w:hAnsi="宋体" w:cs="宋体"/>
          <w:sz w:val="24"/>
        </w:rPr>
      </w:pPr>
      <w:r>
        <w:rPr>
          <w:rFonts w:hint="eastAsia" w:ascii="宋体" w:hAnsi="宋体" w:cs="宋体"/>
          <w:sz w:val="24"/>
        </w:rPr>
        <w:t>5.本合同未尽事宜，遵照</w:t>
      </w:r>
      <w:bookmarkStart w:id="414" w:name="_GoBack"/>
      <w:bookmarkEnd w:id="414"/>
      <w:r>
        <w:rPr>
          <w:rFonts w:hint="eastAsia" w:ascii="宋体" w:hAnsi="宋体" w:cs="宋体"/>
          <w:sz w:val="24"/>
          <w:lang w:eastAsia="zh-CN"/>
        </w:rPr>
        <w:t>《中华人民共和国合同法》</w:t>
      </w:r>
      <w:r>
        <w:rPr>
          <w:rFonts w:hint="eastAsia" w:ascii="宋体" w:hAnsi="宋体" w:cs="宋体"/>
          <w:sz w:val="24"/>
        </w:rPr>
        <w:t>有关条文执行。</w:t>
      </w:r>
    </w:p>
    <w:p>
      <w:pPr>
        <w:snapToGrid w:val="0"/>
        <w:spacing w:line="360" w:lineRule="auto"/>
        <w:ind w:firstLine="480" w:firstLineChars="200"/>
        <w:rPr>
          <w:rFonts w:ascii="宋体" w:hAnsi="宋体" w:cs="宋体"/>
          <w:sz w:val="24"/>
        </w:rPr>
      </w:pPr>
      <w:r>
        <w:rPr>
          <w:rFonts w:hint="eastAsia" w:ascii="宋体" w:hAnsi="宋体" w:cs="宋体"/>
          <w:sz w:val="24"/>
        </w:rPr>
        <w:t>6.本合同一式陆份，双方各执叁份，具有同等法律效力。</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甲方（盖章）：                       乙方（盖章）：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法定代表人：                         法定代表人：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或授权代表（签字）：                 或授权受委托人（签字）：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地址：                               地址：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邮编：                               邮编：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电话：                               电话：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                                     传真：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                                     开户银行：    </w:t>
      </w:r>
    </w:p>
    <w:p>
      <w:pPr>
        <w:spacing w:line="360" w:lineRule="auto"/>
        <w:ind w:firstLine="360" w:firstLineChars="150"/>
        <w:jc w:val="left"/>
        <w:rPr>
          <w:rFonts w:ascii="宋体" w:hAnsi="宋体" w:cs="宋体"/>
          <w:bCs/>
          <w:sz w:val="24"/>
        </w:rPr>
      </w:pPr>
      <w:r>
        <w:rPr>
          <w:rFonts w:hint="eastAsia" w:ascii="宋体" w:hAnsi="宋体" w:cs="宋体"/>
          <w:bCs/>
          <w:sz w:val="24"/>
        </w:rPr>
        <w:t xml:space="preserve">                                     帐号：     </w:t>
      </w:r>
    </w:p>
    <w:p>
      <w:pPr>
        <w:spacing w:line="360" w:lineRule="auto"/>
        <w:ind w:firstLine="360" w:firstLineChars="150"/>
        <w:jc w:val="center"/>
        <w:rPr>
          <w:rFonts w:ascii="宋体" w:hAnsi="宋体" w:cs="宋体"/>
          <w:bCs/>
          <w:sz w:val="24"/>
        </w:rPr>
      </w:pPr>
      <w:r>
        <w:rPr>
          <w:rFonts w:hint="eastAsia" w:ascii="宋体" w:hAnsi="宋体" w:cs="宋体"/>
          <w:bCs/>
          <w:sz w:val="24"/>
        </w:rPr>
        <w:t xml:space="preserve">                            签约时间：2023年    月   日</w:t>
      </w:r>
    </w:p>
    <w:p>
      <w:pPr>
        <w:spacing w:line="360" w:lineRule="auto"/>
        <w:ind w:right="480"/>
        <w:rPr>
          <w:rFonts w:ascii="宋体" w:hAnsi="宋体" w:cs="宋体"/>
          <w:bCs/>
          <w:sz w:val="24"/>
        </w:rPr>
      </w:pPr>
      <w:r>
        <w:rPr>
          <w:rFonts w:hint="eastAsia" w:ascii="宋体" w:hAnsi="宋体" w:cs="宋体"/>
          <w:bCs/>
          <w:sz w:val="24"/>
        </w:rPr>
        <w:t xml:space="preserve">                                        签约地点：</w:t>
      </w:r>
    </w:p>
    <w:p>
      <w:pPr>
        <w:spacing w:line="400" w:lineRule="atLeast"/>
        <w:jc w:val="center"/>
        <w:outlineLvl w:val="0"/>
        <w:rPr>
          <w:rFonts w:ascii="宋体" w:hAnsi="宋体"/>
          <w:bCs/>
          <w:kern w:val="0"/>
          <w:sz w:val="24"/>
        </w:rPr>
      </w:pPr>
      <w:r>
        <w:rPr>
          <w:rFonts w:hint="eastAsia" w:ascii="宋体" w:hAnsi="宋体"/>
          <w:bCs/>
          <w:kern w:val="0"/>
          <w:sz w:val="24"/>
        </w:rPr>
        <w:t xml:space="preserve"> </w:t>
      </w:r>
    </w:p>
    <w:p>
      <w:pPr>
        <w:spacing w:line="560" w:lineRule="exact"/>
        <w:ind w:firstLine="480" w:firstLineChars="200"/>
        <w:rPr>
          <w:rFonts w:ascii="宋体" w:hAnsi="宋体"/>
          <w:sz w:val="24"/>
        </w:rPr>
      </w:pPr>
      <w:r>
        <w:rPr>
          <w:rFonts w:hint="eastAsia" w:ascii="宋体" w:hAnsi="宋体"/>
          <w:sz w:val="24"/>
        </w:rPr>
        <w:t xml:space="preserve">        </w:t>
      </w: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widowControl/>
        <w:adjustRightInd/>
        <w:jc w:val="left"/>
        <w:rPr>
          <w:rFonts w:ascii="仿宋_GB2312" w:hAnsi="仿宋" w:eastAsia="仿宋_GB2312"/>
          <w:b/>
          <w:bCs/>
          <w:sz w:val="32"/>
          <w:szCs w:val="32"/>
          <w:lang w:val="zh-CN"/>
        </w:rPr>
      </w:pPr>
      <w:r>
        <w:br w:type="page"/>
      </w:r>
    </w:p>
    <w:p>
      <w:pPr>
        <w:pStyle w:val="2"/>
      </w:pPr>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401"/>
      <w:r>
        <w:rPr>
          <w:rFonts w:hint="eastAsia" w:ascii="宋体" w:hAnsi="宋体" w:cs="宋体"/>
          <w:b/>
          <w:sz w:val="36"/>
          <w:szCs w:val="20"/>
        </w:rPr>
        <w:t xml:space="preserve"> </w:t>
      </w:r>
      <w:bookmarkEnd w:id="402"/>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杭州市余杭区教育资产营运中心、杭州市公共资源交易中心余杭分中心：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我方参与2023年度余杭区教育系统课桌椅规模化采购项目【招标编号：HZYHZFCG-2023-021】政府采购活动，郑重承诺：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left"/>
        <w:rPr>
          <w:rFonts w:ascii="宋体" w:hAnsi="宋体" w:cs="宋体"/>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四、本项目的特定资格要求（如果有）</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杭州市余杭区教育资产营运中心、杭州市公共资源交易中心余杭分中心：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我方参加你方组织的2023年度余杭区教育系统课桌椅规模化采购项目【招标编号：HZYHZFCG-2023-021】招标的有关活动，并对此项目进行投标。为此：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2023年度余杭区教育系统课桌椅规模化采购项目【招标编号：HZYHZFCG-2023-021】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2023年度余杭区教育系统课桌椅规模化采购项目【招标编号：HZYHZFCG-2023-021】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pStyle w:val="2"/>
      </w:pPr>
    </w:p>
    <w:p>
      <w:pPr>
        <w:pStyle w:val="2"/>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403"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403"/>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杭州市余杭区教育资产营运中心、杭州市公共资源交易中心余杭分中心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2023年度余杭区教育系统课桌椅规模化采购项目</w:t>
      </w:r>
      <w:r>
        <w:rPr>
          <w:rFonts w:hint="eastAsia" w:ascii="宋体" w:hAnsi="宋体" w:cs="宋体"/>
          <w:kern w:val="0"/>
          <w:sz w:val="24"/>
          <w:lang w:val="zh-CN"/>
        </w:rPr>
        <w:t>【招标编号：</w:t>
      </w:r>
      <w:r>
        <w:rPr>
          <w:rFonts w:hint="eastAsia" w:ascii="宋体" w:hAnsi="宋体" w:cs="宋体"/>
          <w:sz w:val="24"/>
        </w:rPr>
        <w:t>HZYHZFCG-2023-021】的实施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w:t>
      </w:r>
      <w:r>
        <w:rPr>
          <w:rFonts w:hint="eastAsia" w:ascii="宋体" w:hAnsi="宋体" w:cs="宋体"/>
          <w:kern w:val="0"/>
          <w:sz w:val="24"/>
          <w:lang w:val="zh-CN"/>
        </w:rPr>
        <w:t>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b/>
          <w:sz w:val="24"/>
        </w:rPr>
      </w:pPr>
      <w:r>
        <w:rPr>
          <w:rFonts w:hint="eastAsia" w:ascii="宋体" w:hAnsi="宋体" w:cs="宋体"/>
          <w:kern w:val="0"/>
          <w:sz w:val="24"/>
          <w:lang w:val="zh-CN"/>
        </w:rPr>
        <w:t>2</w:t>
      </w:r>
      <w:r>
        <w:rPr>
          <w:rFonts w:hint="eastAsia" w:ascii="宋体" w:hAnsi="宋体" w:cs="宋体"/>
          <w:kern w:val="0"/>
          <w:sz w:val="24"/>
        </w:rPr>
        <w:t>.</w:t>
      </w:r>
      <w:r>
        <w:rPr>
          <w:rFonts w:hint="eastAsia" w:ascii="宋体" w:hAnsi="宋体" w:cs="宋体"/>
          <w:kern w:val="0"/>
          <w:sz w:val="24"/>
          <w:lang w:val="zh-CN"/>
        </w:rPr>
        <w:t>有关本项目实施所涉及的一切费用均计入报价。总价不为零，报价明细表中部分产品、服务单价为零的，视作已包含在总价中。</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pacing w:line="360" w:lineRule="auto"/>
        <w:ind w:firstLine="240" w:firstLineChars="100"/>
        <w:rPr>
          <w:rFonts w:ascii="宋体" w:hAnsi="宋体" w:cs="宋体"/>
          <w:kern w:val="0"/>
          <w:sz w:val="24"/>
          <w:szCs w:val="22"/>
          <w:lang w:val="zh-CN"/>
        </w:rPr>
      </w:pPr>
      <w:r>
        <w:rPr>
          <w:rFonts w:hint="eastAsia" w:ascii="宋体" w:hAnsi="宋体" w:cs="宋体"/>
          <w:kern w:val="0"/>
          <w:sz w:val="24"/>
          <w:lang w:val="zh-CN"/>
        </w:rPr>
        <w:t>3</w:t>
      </w:r>
      <w:r>
        <w:rPr>
          <w:rFonts w:hint="eastAsia" w:ascii="宋体" w:hAnsi="宋体" w:cs="宋体"/>
          <w:kern w:val="0"/>
          <w:sz w:val="24"/>
        </w:rPr>
        <w:t>.</w:t>
      </w:r>
      <w:r>
        <w:rPr>
          <w:rFonts w:hint="eastAsia" w:ascii="宋体" w:hAnsi="宋体" w:cs="宋体"/>
          <w:kern w:val="0"/>
          <w:sz w:val="24"/>
          <w:lang w:val="zh-CN"/>
        </w:rPr>
        <w:t>特别提示：采购代理机构将对项目名称和项目编号，中标供应商名称、地址和中标金额，主要中标标的名称、品牌（如果有）、规格型号、数量、单价等予以公示。</w:t>
      </w:r>
    </w:p>
    <w:p>
      <w:pPr>
        <w:spacing w:line="360" w:lineRule="auto"/>
        <w:ind w:firstLine="240" w:firstLineChars="100"/>
        <w:rPr>
          <w:rFonts w:ascii="宋体" w:hAnsi="宋体" w:cs="宋体"/>
          <w:sz w:val="32"/>
          <w:szCs w:val="32"/>
        </w:rPr>
      </w:pPr>
      <w:r>
        <w:rPr>
          <w:rFonts w:hint="eastAsia" w:ascii="宋体" w:hAnsi="宋体" w:cs="宋体"/>
          <w:kern w:val="0"/>
          <w:sz w:val="24"/>
          <w:szCs w:val="22"/>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240" w:firstLineChars="100"/>
        <w:rPr>
          <w:rFonts w:ascii="宋体" w:hAnsi="宋体" w:cs="宋体"/>
          <w:kern w:val="0"/>
          <w:sz w:val="24"/>
          <w:szCs w:val="22"/>
        </w:rPr>
      </w:pPr>
      <w:r>
        <w:rPr>
          <w:rFonts w:hint="eastAsia" w:ascii="宋体" w:hAnsi="宋体" w:cs="宋体"/>
          <w:kern w:val="0"/>
          <w:sz w:val="24"/>
          <w:szCs w:val="22"/>
        </w:rPr>
        <w:t>5.特别说明：▲供应商报价低于项目预算50%的，应当在报价文件中详细阐述不影响产品质量或者诚信履约的具体原因。</w:t>
      </w:r>
    </w:p>
    <w:p>
      <w:pPr>
        <w:spacing w:line="360" w:lineRule="auto"/>
        <w:rPr>
          <w:rFonts w:ascii="宋体" w:hAnsi="宋体" w:cs="宋体"/>
          <w:kern w:val="0"/>
          <w:sz w:val="24"/>
          <w:szCs w:val="22"/>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bookmarkStart w:id="404" w:name="_Hlk101259491"/>
      <w:r>
        <w:rPr>
          <w:rFonts w:hint="eastAsia" w:ascii="宋体" w:hAnsi="宋体" w:eastAsia="宋体" w:cs="宋体"/>
          <w:sz w:val="32"/>
          <w:szCs w:val="32"/>
        </w:rPr>
        <w:t>（如果有）</w:t>
      </w:r>
      <w:bookmarkEnd w:id="404"/>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widowControl/>
        <w:ind w:firstLine="160" w:firstLineChars="50"/>
        <w:jc w:val="left"/>
        <w:rPr>
          <w:rFonts w:ascii="宋体" w:hAnsi="宋体" w:cs="宋体"/>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bookmarkStart w:id="405" w:name="_Toc465665161"/>
      <w:r>
        <w:rPr>
          <w:rFonts w:hint="eastAsia" w:ascii="宋体" w:hAnsi="宋体" w:cs="宋体"/>
        </w:rPr>
        <w:t>附件</w:t>
      </w:r>
      <w:bookmarkEnd w:id="405"/>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6" w:name="OLE_LINK14"/>
      <w:bookmarkStart w:id="407" w:name="OLE_LINK13"/>
      <w:r>
        <w:rPr>
          <w:rFonts w:hint="eastAsia" w:ascii="宋体" w:hAnsi="宋体" w:cs="宋体"/>
          <w:b/>
          <w:spacing w:val="6"/>
          <w:sz w:val="32"/>
          <w:szCs w:val="32"/>
        </w:rPr>
        <w:t>残疾人福利性单位声明函</w:t>
      </w:r>
    </w:p>
    <w:bookmarkEnd w:id="406"/>
    <w:bookmarkEnd w:id="407"/>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杭州市余杭区教育资产营运中心</w:t>
      </w:r>
      <w:r>
        <w:rPr>
          <w:rFonts w:hint="eastAsia" w:ascii="宋体" w:hAnsi="宋体" w:cs="宋体"/>
          <w:sz w:val="24"/>
        </w:rPr>
        <w:t>单位的</w:t>
      </w:r>
      <w:r>
        <w:rPr>
          <w:rFonts w:hint="eastAsia" w:ascii="宋体" w:hAnsi="宋体" w:cs="宋体"/>
          <w:sz w:val="24"/>
          <w:u w:val="single"/>
        </w:rPr>
        <w:t>2023年度余杭区教育系统课桌椅规模化采购项目</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杭州市余杭区教育资产营运中心、杭州市公共资源交易中心余杭分中心：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你方组织的2023年度余杭区教育系统课桌椅规模化采购项目【招标编号：HZYHZFCG-2023-021】</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2023年度余杭区教育系统课桌椅规模化采购项目【招标编号：HZYHZFCG-2023-021】</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08"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08"/>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2023年度余杭区教育系统课桌椅规模化采购项目【招标编号：HZYHZFCG-2023-021】</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9"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09"/>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杭州市余杭区教育资产营运中心 </w:t>
      </w:r>
      <w:r>
        <w:rPr>
          <w:rFonts w:hint="eastAsia" w:ascii="宋体" w:hAnsi="宋体" w:cs="宋体"/>
          <w:sz w:val="24"/>
        </w:rPr>
        <w:t xml:space="preserve">的 </w:t>
      </w:r>
      <w:r>
        <w:rPr>
          <w:rFonts w:hint="eastAsia" w:ascii="宋体" w:hAnsi="宋体" w:cs="宋体"/>
          <w:sz w:val="24"/>
          <w:u w:val="single"/>
        </w:rPr>
        <w:t>2023年度余杭区教育系统课桌椅规模化采购项目</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手摇式升降课桌椅A款（初中、高中）</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手摇式升降课桌椅A款（小学）</w:t>
      </w:r>
      <w:r>
        <w:rPr>
          <w:rFonts w:hint="eastAsia" w:ascii="宋体" w:hAnsi="宋体" w:cs="宋体"/>
          <w:sz w:val="24"/>
        </w:rPr>
        <w:t xml:space="preserve"> ，属于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rPr>
        <w:t xml:space="preserve"> </w:t>
      </w:r>
      <w:r>
        <w:rPr>
          <w:rFonts w:hint="eastAsia" w:ascii="宋体" w:hAnsi="宋体" w:cs="宋体"/>
          <w:sz w:val="24"/>
          <w:u w:val="single"/>
        </w:rPr>
        <w:t>手摇式升降课椅A款（初中、高中）</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rPr>
        <w:t xml:space="preserve"> </w:t>
      </w:r>
      <w:r>
        <w:rPr>
          <w:rFonts w:hint="eastAsia" w:ascii="宋体" w:hAnsi="宋体" w:cs="宋体"/>
          <w:sz w:val="24"/>
          <w:u w:val="single"/>
        </w:rPr>
        <w:t>手摇式升降课桌椅B款</w:t>
      </w:r>
      <w:r>
        <w:rPr>
          <w:rFonts w:hint="eastAsia" w:ascii="宋体" w:hAnsi="宋体" w:cs="宋体"/>
          <w:sz w:val="24"/>
        </w:rPr>
        <w:t xml:space="preserve">，属于 </w:t>
      </w:r>
      <w:r>
        <w:rPr>
          <w:rFonts w:hint="eastAsia" w:ascii="宋体" w:hAnsi="宋体" w:cs="宋体"/>
          <w:sz w:val="24"/>
          <w:u w:val="single"/>
        </w:rPr>
        <w:t>工业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Arial"/>
    <w:panose1 w:val="00000000000000000000"/>
    <w:charset w:val="00"/>
    <w:family w:val="auto"/>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auto"/>
    <w:pitch w:val="default"/>
    <w:sig w:usb0="00000000" w:usb1="00000000" w:usb2="00000000" w:usb3="00000000" w:csb0="00000001" w:csb1="00000000"/>
  </w:font>
  <w:font w:name=".PingFang SC">
    <w:altName w:val="Arial"/>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bookmarkStart w:id="410" w:name="_Toc91899912"/>
    <w:bookmarkStart w:id="411" w:name="_Toc36110187"/>
    <w:bookmarkStart w:id="412" w:name="_Toc164085800"/>
    <w:bookmarkStart w:id="413" w:name="_Toc131845147"/>
    <w:r>
      <w:rPr>
        <w:rFonts w:hint="eastAsia" w:ascii="仿宋_GB2312" w:eastAsia="仿宋_GB2312"/>
        <w:kern w:val="0"/>
        <w:szCs w:val="21"/>
      </w:rPr>
      <w:t xml:space="preserve"> 页</w:t>
    </w:r>
    <w:bookmarkEnd w:id="410"/>
    <w:bookmarkEnd w:id="411"/>
    <w:bookmarkEnd w:id="412"/>
    <w:bookmarkEnd w:id="4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余杭区政府采购公开招标文件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20EC8"/>
    <w:multiLevelType w:val="multilevel"/>
    <w:tmpl w:val="2CF20EC8"/>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9823A61"/>
    <w:multiLevelType w:val="multilevel"/>
    <w:tmpl w:val="79823A6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ZkNTViNjE3YTNmNWNlYWNiMTI2YjE1M2M5ODAxO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6F85"/>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120"/>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3E1"/>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C5"/>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60"/>
    <w:rsid w:val="00103251"/>
    <w:rsid w:val="00103509"/>
    <w:rsid w:val="0010393D"/>
    <w:rsid w:val="00103EBD"/>
    <w:rsid w:val="00104699"/>
    <w:rsid w:val="00104D6C"/>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370"/>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07DB"/>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290"/>
    <w:rsid w:val="00201A0C"/>
    <w:rsid w:val="00201B0F"/>
    <w:rsid w:val="0020255A"/>
    <w:rsid w:val="00202800"/>
    <w:rsid w:val="00202D33"/>
    <w:rsid w:val="00202E58"/>
    <w:rsid w:val="00202F99"/>
    <w:rsid w:val="00203C85"/>
    <w:rsid w:val="0020449A"/>
    <w:rsid w:val="00204E9B"/>
    <w:rsid w:val="00205298"/>
    <w:rsid w:val="00205559"/>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6149"/>
    <w:rsid w:val="00227214"/>
    <w:rsid w:val="00227DDC"/>
    <w:rsid w:val="0023079F"/>
    <w:rsid w:val="002309A8"/>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543"/>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600"/>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4FF"/>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2ACB"/>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1CA6"/>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816"/>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2B6"/>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1CB"/>
    <w:rsid w:val="004A03D0"/>
    <w:rsid w:val="004A1049"/>
    <w:rsid w:val="004A1752"/>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2AF"/>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C94"/>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A10"/>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4AF5"/>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238"/>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9A0"/>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9B8"/>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6B9"/>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22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33"/>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86E"/>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5AB"/>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0721E"/>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8DF"/>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1D57"/>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77D"/>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34"/>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3B48"/>
    <w:rsid w:val="00B3412E"/>
    <w:rsid w:val="00B343E0"/>
    <w:rsid w:val="00B34478"/>
    <w:rsid w:val="00B3561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9E"/>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997"/>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3D8"/>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3F25"/>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911"/>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0A6B"/>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0D3"/>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0E7"/>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28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1EE"/>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9C2"/>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860"/>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01E7"/>
    <w:rsid w:val="00F40E1B"/>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064"/>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8FC"/>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439"/>
    <w:rsid w:val="00F97A34"/>
    <w:rsid w:val="00F97E4A"/>
    <w:rsid w:val="00F97EA1"/>
    <w:rsid w:val="00FA003A"/>
    <w:rsid w:val="00FA05C8"/>
    <w:rsid w:val="00FA0678"/>
    <w:rsid w:val="00FA0DB6"/>
    <w:rsid w:val="00FA1DB0"/>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755C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B472B"/>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DD0481"/>
    <w:rsid w:val="13072A44"/>
    <w:rsid w:val="135F4BE2"/>
    <w:rsid w:val="139B1A0A"/>
    <w:rsid w:val="139D25C7"/>
    <w:rsid w:val="13BF3CE4"/>
    <w:rsid w:val="141008D8"/>
    <w:rsid w:val="14125FE6"/>
    <w:rsid w:val="14620B4B"/>
    <w:rsid w:val="146D271E"/>
    <w:rsid w:val="14982588"/>
    <w:rsid w:val="149A5AD9"/>
    <w:rsid w:val="14A7619D"/>
    <w:rsid w:val="150536C3"/>
    <w:rsid w:val="150C1963"/>
    <w:rsid w:val="151447A0"/>
    <w:rsid w:val="154A6454"/>
    <w:rsid w:val="15762120"/>
    <w:rsid w:val="16A8729C"/>
    <w:rsid w:val="16B33777"/>
    <w:rsid w:val="16BC70A7"/>
    <w:rsid w:val="16C6339E"/>
    <w:rsid w:val="171306A2"/>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2938DA"/>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3A1CB5"/>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396E36"/>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06431B"/>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6C5EFA"/>
    <w:rsid w:val="2C9930F3"/>
    <w:rsid w:val="2CE82D6F"/>
    <w:rsid w:val="2D343236"/>
    <w:rsid w:val="2D575011"/>
    <w:rsid w:val="2D7B2C21"/>
    <w:rsid w:val="2DD15014"/>
    <w:rsid w:val="2DF72DE4"/>
    <w:rsid w:val="2E0220AF"/>
    <w:rsid w:val="2E4B082A"/>
    <w:rsid w:val="2E5478F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409C4"/>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7A6305"/>
    <w:rsid w:val="4D905305"/>
    <w:rsid w:val="4D964A72"/>
    <w:rsid w:val="4D9C1254"/>
    <w:rsid w:val="4E1970E8"/>
    <w:rsid w:val="4E793892"/>
    <w:rsid w:val="4E800872"/>
    <w:rsid w:val="4EC569ED"/>
    <w:rsid w:val="4ED50EA1"/>
    <w:rsid w:val="4EEC050C"/>
    <w:rsid w:val="4F104EC3"/>
    <w:rsid w:val="4F47354A"/>
    <w:rsid w:val="4F911C54"/>
    <w:rsid w:val="4FE625E0"/>
    <w:rsid w:val="5021480F"/>
    <w:rsid w:val="502B6873"/>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47FF0"/>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9761AC"/>
    <w:rsid w:val="5FA45AB0"/>
    <w:rsid w:val="5FCC5339"/>
    <w:rsid w:val="5FE34A5B"/>
    <w:rsid w:val="5FFE1E36"/>
    <w:rsid w:val="60232584"/>
    <w:rsid w:val="607330CE"/>
    <w:rsid w:val="60825176"/>
    <w:rsid w:val="609F2AC4"/>
    <w:rsid w:val="60BD39C0"/>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7366D"/>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139F7"/>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33FE0"/>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8A3A57"/>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B96D66"/>
    <w:rsid w:val="73C0646E"/>
    <w:rsid w:val="742222F5"/>
    <w:rsid w:val="74476126"/>
    <w:rsid w:val="74706664"/>
    <w:rsid w:val="747F3682"/>
    <w:rsid w:val="748A2D54"/>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D50BCE"/>
    <w:rsid w:val="7CE27788"/>
    <w:rsid w:val="7D015090"/>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E2D39"/>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列出段落1"/>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无间隔2"/>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0"/>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99596-0595-414E-98E8-6E6FF49DCC6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37493</Words>
  <Characters>40350</Characters>
  <Lines>334</Lines>
  <Paragraphs>94</Paragraphs>
  <TotalTime>237</TotalTime>
  <ScaleCrop>false</ScaleCrop>
  <LinksUpToDate>false</LinksUpToDate>
  <CharactersWithSpaces>45052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林</cp:lastModifiedBy>
  <cp:lastPrinted>2021-12-27T03:06:00Z</cp:lastPrinted>
  <dcterms:modified xsi:type="dcterms:W3CDTF">2023-05-25T02:46:33Z</dcterms:modified>
  <dc:title>杭州市市民卡扩大发卡工程</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