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bookmarkStart w:id="0" w:name="_GoBack"/>
      <w:r w:rsidRPr="003A14D4">
        <w:rPr>
          <w:rFonts w:ascii="Arial" w:eastAsia="宋体" w:hAnsi="Arial" w:cs="Arial"/>
          <w:b/>
          <w:bCs/>
          <w:color w:val="333333"/>
          <w:kern w:val="0"/>
          <w:szCs w:val="21"/>
        </w:rPr>
        <w:t>信用</w:t>
      </w:r>
      <w:proofErr w:type="gramStart"/>
      <w:r w:rsidRPr="003A14D4">
        <w:rPr>
          <w:rFonts w:ascii="Arial" w:eastAsia="宋体" w:hAnsi="Arial" w:cs="Arial"/>
          <w:b/>
          <w:bCs/>
          <w:color w:val="333333"/>
          <w:kern w:val="0"/>
          <w:szCs w:val="21"/>
        </w:rPr>
        <w:t>评级业</w:t>
      </w:r>
      <w:proofErr w:type="gramEnd"/>
      <w:r w:rsidRPr="003A14D4">
        <w:rPr>
          <w:rFonts w:ascii="Arial" w:eastAsia="宋体" w:hAnsi="Arial" w:cs="Arial"/>
          <w:b/>
          <w:bCs/>
          <w:color w:val="333333"/>
          <w:kern w:val="0"/>
          <w:szCs w:val="21"/>
        </w:rPr>
        <w:t>管理暂行办法</w:t>
      </w:r>
    </w:p>
    <w:bookmarkEnd w:id="0"/>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b/>
          <w:bCs/>
          <w:color w:val="333333"/>
          <w:kern w:val="0"/>
          <w:szCs w:val="21"/>
        </w:rPr>
        <w:t>第一章</w:t>
      </w:r>
      <w:r w:rsidRPr="003A14D4">
        <w:rPr>
          <w:rFonts w:ascii="Arial" w:eastAsia="宋体" w:hAnsi="Arial" w:cs="Arial"/>
          <w:b/>
          <w:bCs/>
          <w:color w:val="333333"/>
          <w:kern w:val="0"/>
          <w:szCs w:val="21"/>
        </w:rPr>
        <w:t xml:space="preserve"> </w:t>
      </w:r>
      <w:r w:rsidRPr="003A14D4">
        <w:rPr>
          <w:rFonts w:ascii="Arial" w:eastAsia="宋体" w:hAnsi="Arial" w:cs="Arial"/>
          <w:b/>
          <w:bCs/>
          <w:color w:val="333333"/>
          <w:kern w:val="0"/>
          <w:szCs w:val="21"/>
        </w:rPr>
        <w:t>总</w:t>
      </w:r>
      <w:r w:rsidRPr="003A14D4">
        <w:rPr>
          <w:rFonts w:ascii="Arial" w:eastAsia="宋体" w:hAnsi="Arial" w:cs="Arial"/>
          <w:b/>
          <w:bCs/>
          <w:color w:val="333333"/>
          <w:kern w:val="0"/>
          <w:szCs w:val="21"/>
        </w:rPr>
        <w:t xml:space="preserve"> </w:t>
      </w:r>
      <w:r w:rsidRPr="003A14D4">
        <w:rPr>
          <w:rFonts w:ascii="Arial" w:eastAsia="宋体" w:hAnsi="Arial" w:cs="Arial"/>
          <w:b/>
          <w:bCs/>
          <w:color w:val="333333"/>
          <w:kern w:val="0"/>
          <w:szCs w:val="21"/>
        </w:rPr>
        <w:t>则</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第一条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为了规范信用评级业务，保护当事人合法权益，促进信用</w:t>
      </w:r>
      <w:proofErr w:type="gramStart"/>
      <w:r w:rsidRPr="003A14D4">
        <w:rPr>
          <w:rFonts w:ascii="Arial" w:eastAsia="宋体" w:hAnsi="Arial" w:cs="Arial"/>
          <w:color w:val="333333"/>
          <w:kern w:val="0"/>
          <w:szCs w:val="21"/>
        </w:rPr>
        <w:t>评级业</w:t>
      </w:r>
      <w:proofErr w:type="gramEnd"/>
      <w:r w:rsidRPr="003A14D4">
        <w:rPr>
          <w:rFonts w:ascii="Arial" w:eastAsia="宋体" w:hAnsi="Arial" w:cs="Arial"/>
          <w:color w:val="333333"/>
          <w:kern w:val="0"/>
          <w:szCs w:val="21"/>
        </w:rPr>
        <w:t>健康发展，根据《中华人民共和国中国人民银行法》、《中华人民共和国公司法》、《中华人民共和国证券法》、《中华人民共和国预算法》、《企业债券管理条例》等法律法规，制定本办法。</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第二条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在中华人民共和国境内从事信用评级业务，适用本办法。法律法规和有关业务管理部门制定的信用评级机构监督管理规则中另有规定的，适用其规定。本办法所称信用评级，是指信用评级机构对影响经济主体或者债务融资工具的信用风险因素进行分析，就其偿债能力和偿债意愿</w:t>
      </w:r>
      <w:proofErr w:type="gramStart"/>
      <w:r w:rsidRPr="003A14D4">
        <w:rPr>
          <w:rFonts w:ascii="Arial" w:eastAsia="宋体" w:hAnsi="Arial" w:cs="Arial"/>
          <w:color w:val="333333"/>
          <w:kern w:val="0"/>
          <w:szCs w:val="21"/>
        </w:rPr>
        <w:t>作出</w:t>
      </w:r>
      <w:proofErr w:type="gramEnd"/>
      <w:r w:rsidRPr="003A14D4">
        <w:rPr>
          <w:rFonts w:ascii="Arial" w:eastAsia="宋体" w:hAnsi="Arial" w:cs="Arial"/>
          <w:color w:val="333333"/>
          <w:kern w:val="0"/>
          <w:szCs w:val="21"/>
        </w:rPr>
        <w:t>综合评价，并通过预先定义的信用等级符号进行表示。本办法所称信用评级业务，是指为开展信用评级而进行的信息收集、分析、评估、审核和结果发布等活动。本办法所称信用评级机构，是指依法设立，主要从事信用评级业务的社会中介机构。本办法所称评级对象，是指受评经济主体或者受评债务融资工具。本办法所称债务融资工具，包括：贷款，地方政府债券、金融债券、非金融企业债务融资工具、企业债券、公司债券等债券，资产支持证券等结构化融资产品，其他债务类融资产品。</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第三条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本办法所称监管主体包括信用评级行业主管部门和业务管理部门。中国人民银行是信用评级行业主管部门，主管全国的信用评级监督管理工作。发展改革委、财政部、证监会为信用评级业务管理部门（以下统称业务管理部门），在职责范围内依法对信用评级业务实施监督管理。</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第四条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信用评级行业主管部门履行以下职责：</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（一）研究起草信用评级相关法律法规草案；（二）拟定信用</w:t>
      </w:r>
      <w:proofErr w:type="gramStart"/>
      <w:r w:rsidRPr="003A14D4">
        <w:rPr>
          <w:rFonts w:ascii="Arial" w:eastAsia="宋体" w:hAnsi="Arial" w:cs="Arial"/>
          <w:color w:val="333333"/>
          <w:kern w:val="0"/>
          <w:szCs w:val="21"/>
        </w:rPr>
        <w:t>评级业</w:t>
      </w:r>
      <w:proofErr w:type="gramEnd"/>
      <w:r w:rsidRPr="003A14D4">
        <w:rPr>
          <w:rFonts w:ascii="Arial" w:eastAsia="宋体" w:hAnsi="Arial" w:cs="Arial"/>
          <w:color w:val="333333"/>
          <w:kern w:val="0"/>
          <w:szCs w:val="21"/>
        </w:rPr>
        <w:t>发展战略、规划和政策；（三）制定信用评级机构的准入原则和基本规范；（四）研究制定信用</w:t>
      </w:r>
      <w:proofErr w:type="gramStart"/>
      <w:r w:rsidRPr="003A14D4">
        <w:rPr>
          <w:rFonts w:ascii="Arial" w:eastAsia="宋体" w:hAnsi="Arial" w:cs="Arial"/>
          <w:color w:val="333333"/>
          <w:kern w:val="0"/>
          <w:szCs w:val="21"/>
        </w:rPr>
        <w:t>评级业</w:t>
      </w:r>
      <w:proofErr w:type="gramEnd"/>
      <w:r w:rsidRPr="003A14D4">
        <w:rPr>
          <w:rFonts w:ascii="Arial" w:eastAsia="宋体" w:hAnsi="Arial" w:cs="Arial"/>
          <w:color w:val="333333"/>
          <w:kern w:val="0"/>
          <w:szCs w:val="21"/>
        </w:rPr>
        <w:t>对外开放政策</w:t>
      </w:r>
      <w:r w:rsidRPr="003A14D4">
        <w:rPr>
          <w:rFonts w:ascii="Arial" w:eastAsia="宋体" w:hAnsi="Arial" w:cs="Arial"/>
          <w:color w:val="333333"/>
          <w:kern w:val="0"/>
          <w:szCs w:val="21"/>
        </w:rPr>
        <w:t>;</w:t>
      </w:r>
      <w:r w:rsidRPr="003A14D4">
        <w:rPr>
          <w:rFonts w:ascii="Arial" w:eastAsia="宋体" w:hAnsi="Arial" w:cs="Arial"/>
          <w:color w:val="333333"/>
          <w:kern w:val="0"/>
          <w:szCs w:val="21"/>
        </w:rPr>
        <w:t>（五）促进信用</w:t>
      </w:r>
      <w:proofErr w:type="gramStart"/>
      <w:r w:rsidRPr="003A14D4">
        <w:rPr>
          <w:rFonts w:ascii="Arial" w:eastAsia="宋体" w:hAnsi="Arial" w:cs="Arial"/>
          <w:color w:val="333333"/>
          <w:kern w:val="0"/>
          <w:szCs w:val="21"/>
        </w:rPr>
        <w:t>评级业</w:t>
      </w:r>
      <w:proofErr w:type="gramEnd"/>
      <w:r w:rsidRPr="003A14D4">
        <w:rPr>
          <w:rFonts w:ascii="Arial" w:eastAsia="宋体" w:hAnsi="Arial" w:cs="Arial"/>
          <w:color w:val="333333"/>
          <w:kern w:val="0"/>
          <w:szCs w:val="21"/>
        </w:rPr>
        <w:t>健康发展。</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第五条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业务管理部门依据相关法律法规和监管职责，对信用评级业务进行监督管理。业务管理部门可以根据需要，对信用评级机构的监督管理制定相应规则。</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第六条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信用评级行业主管部门和业务管理部门建立部际协调机制，根据职责分工，协调配合，共同加强监管工作。</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第七条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行业主管部门、业务管理部门在各自职责范围内分别建立信用评级机构信用档案和信用评级机构高级管理人员信用档案，并将信用评级机构及高级管理人员信用档案信息、评级业务信息、检查及行政处罚等信息纳入全国信用信息共享平台，按照有关规定，实现信息公开与共享。信用评级机构应当建立本机构从业人员信用档案，并将从业人员信用档案信息纳入全国信用信息共享平台，按照有关规定</w:t>
      </w:r>
      <w:r w:rsidRPr="003A14D4">
        <w:rPr>
          <w:rFonts w:ascii="Arial" w:eastAsia="宋体" w:hAnsi="Arial" w:cs="Arial"/>
          <w:color w:val="333333"/>
          <w:kern w:val="0"/>
          <w:szCs w:val="21"/>
        </w:rPr>
        <w:t>,</w:t>
      </w:r>
      <w:r w:rsidRPr="003A14D4">
        <w:rPr>
          <w:rFonts w:ascii="Arial" w:eastAsia="宋体" w:hAnsi="Arial" w:cs="Arial"/>
          <w:color w:val="333333"/>
          <w:kern w:val="0"/>
          <w:szCs w:val="21"/>
        </w:rPr>
        <w:t>实现信息公开与共享。</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第八条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从事信用评级业务应当遵循独立、客观、公正和审慎性原则，勤勉尽责，诚信经营，不得损害国家利益、社会公共利益和市场主体合法权益。信用评级机构从事评级业务，应当遵循一致性原则，对同一类对象评级，或者对同一评级对象跟踪评级，应当采用一致的评级标准和工作程序。评级标准和工作程序及其调整，应当予以充分披露。信用评级机构依法独立开展业务，不受任何单位和个人的干涉。</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b/>
          <w:bCs/>
          <w:color w:val="333333"/>
          <w:kern w:val="0"/>
          <w:szCs w:val="21"/>
        </w:rPr>
        <w:t>第二章</w:t>
      </w:r>
      <w:r w:rsidRPr="003A14D4">
        <w:rPr>
          <w:rFonts w:ascii="Arial" w:eastAsia="宋体" w:hAnsi="Arial" w:cs="Arial"/>
          <w:b/>
          <w:bCs/>
          <w:color w:val="333333"/>
          <w:kern w:val="0"/>
          <w:szCs w:val="21"/>
        </w:rPr>
        <w:t xml:space="preserve"> </w:t>
      </w:r>
      <w:r w:rsidRPr="003A14D4">
        <w:rPr>
          <w:rFonts w:ascii="Arial" w:eastAsia="宋体" w:hAnsi="Arial" w:cs="Arial"/>
          <w:b/>
          <w:bCs/>
          <w:color w:val="333333"/>
          <w:kern w:val="0"/>
          <w:szCs w:val="21"/>
        </w:rPr>
        <w:t>信用评级机构管理</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第九条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设立信用评级机构，应当符合《中华人民共和国公司法》规定的公司设立条件，自公司登记机关准予登记之日起</w:t>
      </w:r>
      <w:r w:rsidRPr="003A14D4">
        <w:rPr>
          <w:rFonts w:ascii="Arial" w:eastAsia="宋体" w:hAnsi="Arial" w:cs="Arial"/>
          <w:color w:val="333333"/>
          <w:kern w:val="0"/>
          <w:szCs w:val="21"/>
        </w:rPr>
        <w:t>30</w:t>
      </w:r>
      <w:r w:rsidRPr="003A14D4">
        <w:rPr>
          <w:rFonts w:ascii="Arial" w:eastAsia="宋体" w:hAnsi="Arial" w:cs="Arial"/>
          <w:color w:val="333333"/>
          <w:kern w:val="0"/>
          <w:szCs w:val="21"/>
        </w:rPr>
        <w:t>日内向所在地的信用评级行业主管部门省一级派出机构</w:t>
      </w:r>
      <w:r w:rsidRPr="003A14D4">
        <w:rPr>
          <w:rFonts w:ascii="Arial" w:eastAsia="宋体" w:hAnsi="Arial" w:cs="Arial"/>
          <w:color w:val="333333"/>
          <w:kern w:val="0"/>
          <w:szCs w:val="21"/>
        </w:rPr>
        <w:lastRenderedPageBreak/>
        <w:t>（以下简称备案机构）办理备案，并提交以下材料：（一）信用评级机构备案表；（二）营业执照复印件；（三）全球法人机构识别编码；（四）股权结构说明，包括注册资本、股东名单及其出资额或者所持股份，股东在本机构以外的实体持股情况，实际控制人、受益所有人情况；（五）董事、监事、高级管理人员以及信用评级分析人员的情况说明和证明文件；（六）主要股东、实际控制人、受益所有人、董事、监事、高级管理人员未因犯有贪污、贿赂、侵占财产、挪用财产罪或者破坏社会主义市场经济秩序罪，被判处刑罚，或者因犯罪被剥夺政治权利的声明，以及主要股东、实际控制人、受益所有人的信用报告；（七）营业场所、组织机构设置及公司治理情况</w:t>
      </w:r>
      <w:r w:rsidRPr="003A14D4">
        <w:rPr>
          <w:rFonts w:ascii="Arial" w:eastAsia="宋体" w:hAnsi="Arial" w:cs="Arial"/>
          <w:color w:val="333333"/>
          <w:kern w:val="0"/>
          <w:szCs w:val="21"/>
        </w:rPr>
        <w:t>;</w:t>
      </w:r>
      <w:r w:rsidRPr="003A14D4">
        <w:rPr>
          <w:rFonts w:ascii="Arial" w:eastAsia="宋体" w:hAnsi="Arial" w:cs="Arial"/>
          <w:color w:val="333333"/>
          <w:kern w:val="0"/>
          <w:szCs w:val="21"/>
        </w:rPr>
        <w:t>（八）独立性、信息披露以及业务制度说明；（九）信用评级行业主管部门基于保护投资者、维护社会公共利益考虑，合理要求的与信用评级机构及其相关自然人有关的其他材料。备案机构可以对高级管理人员和主要信用评级分析人员进行政策法规、业务技能等方面的监管谈话，以评估其专业素质的合格性。</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第十条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信用评级机构设立分支机构的，自该分支机构成立之日起</w:t>
      </w:r>
      <w:r w:rsidRPr="003A14D4">
        <w:rPr>
          <w:rFonts w:ascii="Arial" w:eastAsia="宋体" w:hAnsi="Arial" w:cs="Arial"/>
          <w:color w:val="333333"/>
          <w:kern w:val="0"/>
          <w:szCs w:val="21"/>
        </w:rPr>
        <w:t>30</w:t>
      </w:r>
      <w:r w:rsidRPr="003A14D4">
        <w:rPr>
          <w:rFonts w:ascii="Arial" w:eastAsia="宋体" w:hAnsi="Arial" w:cs="Arial"/>
          <w:color w:val="333333"/>
          <w:kern w:val="0"/>
          <w:szCs w:val="21"/>
        </w:rPr>
        <w:t>日内，信用评级机构应当向原备案机构、信用评级机构分支机构应当向备案机构分别办理备案，并提交以下材料：（一）信用评级机构分支机构备案表；（二）信用评级机构分支机构营业执照复印件；（三）信用评级机构分支机构营业场所及组织机构设置说明；（四）信用评级机构分支机构高级管理人员和信用评级分析人员情况说明和证明文件。</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第十一条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w:t>
      </w:r>
      <w:proofErr w:type="gramStart"/>
      <w:r w:rsidRPr="003A14D4">
        <w:rPr>
          <w:rFonts w:ascii="Arial" w:eastAsia="宋体" w:hAnsi="Arial" w:cs="Arial"/>
          <w:color w:val="333333"/>
          <w:kern w:val="0"/>
          <w:szCs w:val="21"/>
        </w:rPr>
        <w:t>自下列</w:t>
      </w:r>
      <w:proofErr w:type="gramEnd"/>
      <w:r w:rsidRPr="003A14D4">
        <w:rPr>
          <w:rFonts w:ascii="Arial" w:eastAsia="宋体" w:hAnsi="Arial" w:cs="Arial"/>
          <w:color w:val="333333"/>
          <w:kern w:val="0"/>
          <w:szCs w:val="21"/>
        </w:rPr>
        <w:t>事项变更或者发生之日起</w:t>
      </w:r>
      <w:r w:rsidRPr="003A14D4">
        <w:rPr>
          <w:rFonts w:ascii="Arial" w:eastAsia="宋体" w:hAnsi="Arial" w:cs="Arial"/>
          <w:color w:val="333333"/>
          <w:kern w:val="0"/>
          <w:szCs w:val="21"/>
        </w:rPr>
        <w:t>30</w:t>
      </w:r>
      <w:r w:rsidRPr="003A14D4">
        <w:rPr>
          <w:rFonts w:ascii="Arial" w:eastAsia="宋体" w:hAnsi="Arial" w:cs="Arial"/>
          <w:color w:val="333333"/>
          <w:kern w:val="0"/>
          <w:szCs w:val="21"/>
        </w:rPr>
        <w:t>日内，向备案机构办理变更备案：（一）机构名称、营业场所；（二）持有出资额或者股份</w:t>
      </w:r>
      <w:r w:rsidRPr="003A14D4">
        <w:rPr>
          <w:rFonts w:ascii="Arial" w:eastAsia="宋体" w:hAnsi="Arial" w:cs="Arial"/>
          <w:color w:val="333333"/>
          <w:kern w:val="0"/>
          <w:szCs w:val="21"/>
        </w:rPr>
        <w:t>5%</w:t>
      </w:r>
      <w:r w:rsidRPr="003A14D4">
        <w:rPr>
          <w:rFonts w:ascii="Arial" w:eastAsia="宋体" w:hAnsi="Arial" w:cs="Arial"/>
          <w:color w:val="333333"/>
          <w:kern w:val="0"/>
          <w:szCs w:val="21"/>
        </w:rPr>
        <w:t>以上的股东，实际控制人、受益所有人</w:t>
      </w:r>
      <w:r w:rsidRPr="003A14D4">
        <w:rPr>
          <w:rFonts w:ascii="Arial" w:eastAsia="宋体" w:hAnsi="Arial" w:cs="Arial"/>
          <w:color w:val="333333"/>
          <w:kern w:val="0"/>
          <w:szCs w:val="21"/>
        </w:rPr>
        <w:t>;</w:t>
      </w:r>
      <w:r w:rsidRPr="003A14D4">
        <w:rPr>
          <w:rFonts w:ascii="Arial" w:eastAsia="宋体" w:hAnsi="Arial" w:cs="Arial"/>
          <w:color w:val="333333"/>
          <w:kern w:val="0"/>
          <w:szCs w:val="21"/>
        </w:rPr>
        <w:t>（三）董事、监事、高级管理人员、信用评级分析人员；（四）按照法律法规、行业主管部门和业务管理部门的规定开展相关市场信用评级业务；（五）不再从事信用评级业务。信用评级机构分支机构前款第一项、第三项和第五项事项变更或者发生的，信用评级机构及其分支机构应当自相关事项变更或者发生之日起</w:t>
      </w:r>
      <w:r w:rsidRPr="003A14D4">
        <w:rPr>
          <w:rFonts w:ascii="Arial" w:eastAsia="宋体" w:hAnsi="Arial" w:cs="Arial"/>
          <w:color w:val="333333"/>
          <w:kern w:val="0"/>
          <w:szCs w:val="21"/>
        </w:rPr>
        <w:t>30</w:t>
      </w:r>
      <w:r w:rsidRPr="003A14D4">
        <w:rPr>
          <w:rFonts w:ascii="Arial" w:eastAsia="宋体" w:hAnsi="Arial" w:cs="Arial"/>
          <w:color w:val="333333"/>
          <w:kern w:val="0"/>
          <w:szCs w:val="21"/>
        </w:rPr>
        <w:t>日内向各自的备案机构办理变更备案。</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第十二条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解散或者被依法宣告破产的，应当向备案机构报告，并按照以下方式处理信用评级数据库系统：（一）与其他信用评级机构约定，转让给其他信用评级机构；（二）不能依照前项规定转让的，移交给备案机构指定的信用评级机构；（三）不能依照前两项规定转让、移交的，在备案机构的监督下销毁。</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第十三条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业务管理部门对有关信用评级业务资质另有规定的，从其规定。</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b/>
          <w:bCs/>
          <w:color w:val="333333"/>
          <w:kern w:val="0"/>
          <w:szCs w:val="21"/>
        </w:rPr>
        <w:t>第三章</w:t>
      </w:r>
      <w:r w:rsidRPr="003A14D4">
        <w:rPr>
          <w:rFonts w:ascii="Arial" w:eastAsia="宋体" w:hAnsi="Arial" w:cs="Arial"/>
          <w:b/>
          <w:bCs/>
          <w:color w:val="333333"/>
          <w:kern w:val="0"/>
          <w:szCs w:val="21"/>
        </w:rPr>
        <w:t xml:space="preserve"> </w:t>
      </w:r>
      <w:r w:rsidRPr="003A14D4">
        <w:rPr>
          <w:rFonts w:ascii="Arial" w:eastAsia="宋体" w:hAnsi="Arial" w:cs="Arial"/>
          <w:b/>
          <w:bCs/>
          <w:color w:val="333333"/>
          <w:kern w:val="0"/>
          <w:szCs w:val="21"/>
        </w:rPr>
        <w:t>信用评级从业人员管理</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第十四条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信用评级机构应当将高级管理人员和信用评级分析人员的基本信息向备案机构办理备案。</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第十五条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的高级管理人员和信用评级分析人员离职并受聘于其曾参与评级的受评经济主体、受评债务融资工具发行人、信用评级委托方或者主承销商的，信用评级机构应当检查其离职前两年内参与的与其受聘机构有关的信用评级工作。对评级结果确有影响的，信用评级机构应当及时披露检查结果以及对原信用评级结果的调整情况。</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第十六条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信用评级机构应当定期对高级管理人员和信用评级分析人员进行业务培训和业务能力测试，采取有效措施提高从业人员的职业道德和业务水平，并做好培训和测试记录。</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b/>
          <w:bCs/>
          <w:color w:val="333333"/>
          <w:kern w:val="0"/>
          <w:szCs w:val="21"/>
        </w:rPr>
        <w:lastRenderedPageBreak/>
        <w:t>第四章</w:t>
      </w:r>
      <w:r w:rsidRPr="003A14D4">
        <w:rPr>
          <w:rFonts w:ascii="Arial" w:eastAsia="宋体" w:hAnsi="Arial" w:cs="Arial"/>
          <w:b/>
          <w:bCs/>
          <w:color w:val="333333"/>
          <w:kern w:val="0"/>
          <w:szCs w:val="21"/>
        </w:rPr>
        <w:t xml:space="preserve"> </w:t>
      </w:r>
      <w:r w:rsidRPr="003A14D4">
        <w:rPr>
          <w:rFonts w:ascii="Arial" w:eastAsia="宋体" w:hAnsi="Arial" w:cs="Arial"/>
          <w:b/>
          <w:bCs/>
          <w:color w:val="333333"/>
          <w:kern w:val="0"/>
          <w:szCs w:val="21"/>
        </w:rPr>
        <w:t>信用评级程序及业务规则</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第十七条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信用评级机构应当对内部管理制度的有效性进行年度检查和评估，就存在的问题提出处理措施，并于每个财务年度结束之日起四个月内将检查和评估报告向信用评级行业主管部门和业务管理部门报备。</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第十八条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信用评级机构应当建立完善的信用评级制度，对信用等级的划分与定义、评级方法与程序、评级质量控制、尽职调查、信用评级评审委员会、评级结果公布、跟踪评级等进行明确规定。</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第十九条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信用评级机构在开展委托评级项目前，应当与委托人签订评级协议，明确评级双方的权利和义务。</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第二十条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在开展信用评级业务时，应当组建评级项目组。信用评级机构应当对每一评级项目投入充分的富有经验的分析资源。评级项目组成员应当具备从事相关项目的工作经历或者与评级项目相适应的知识结构，评级项目组长应当有充分的经验且至少从事信用评级业务三年以上。</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第二十一条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对评级对象开展尽职调查，进行必要的评估以确信评级所需信息来源可靠且充分满足使用需求，并在调查前制定详细的调查提纲。调查过程中，信用评级机构应当制作尽职调查工作底稿，作为评级资料一并存档保管。</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第二十二条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评级项目组应当依法收集评级对象的相关资料，并对所依据的文件资料内容进行核查验证和客观分析，在此基础上得出初评结果。</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第二十三条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信用评级初评结果应当经过三级审核程序，包括评级小组初审、部门再审和公司三审。各审核阶段应当相互独立，三级审核文件资料应当按相关要求存档保管。</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第二十四条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成立内部信用评审委员会。信用评级结果由内部信用评审委员会召开评审会议，以投票表决方式最终确定。信用评级机构应当根据每一评级项目的具体情况，安排充足且具有相关经验的人员参加评审会议。</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第二十五条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将信用评级结果反馈至评级委托方，评级委托方应当在规定期限内反馈意见。如评级委托方、受评经济主体、受评债务融资工具发行人不是同一主体的，信用评级机构还应当将信用评级结果反馈至受评经济主体和受评债务融资工具发行人。评级委托方、受评经济主体或者受评债务融资工具发行人对信用评级结果有异议且向信用评级机构提供充分、有效的补充材料的，可以在约定时间内申请复评一次。</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第二十六条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公布受评债务融资工具及受评经济主体信用评级结果，应当符合下列要求：（一）评级结果应当包括评级等级和评级报告，评级报告应当采用简洁、明了的语言，对评级对象的信用等级和有效期等内容</w:t>
      </w:r>
      <w:proofErr w:type="gramStart"/>
      <w:r w:rsidRPr="003A14D4">
        <w:rPr>
          <w:rFonts w:ascii="Arial" w:eastAsia="宋体" w:hAnsi="Arial" w:cs="Arial"/>
          <w:color w:val="333333"/>
          <w:kern w:val="0"/>
          <w:szCs w:val="21"/>
        </w:rPr>
        <w:t>作出</w:t>
      </w:r>
      <w:proofErr w:type="gramEnd"/>
      <w:r w:rsidRPr="003A14D4">
        <w:rPr>
          <w:rFonts w:ascii="Arial" w:eastAsia="宋体" w:hAnsi="Arial" w:cs="Arial"/>
          <w:color w:val="333333"/>
          <w:kern w:val="0"/>
          <w:szCs w:val="21"/>
        </w:rPr>
        <w:t>明确解释；（二）按照本办法第三十八条的规定公布评级结果；（三）存在多个评级结果的，多个评级结果均应当予以公布。业务管理部门另有规定的，从其规定。</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第二十七条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在信用评级结果有效期内，信用评级机构应当对评级对象进行跟踪评级，并在签订评级协议时明确跟踪评级安排。其中，评级结果有效期为一年以上的，信用评级机构应当每年跟踪评级一次，并及时公布跟踪评级结果。业务管理部门另有规定的，从其规定。</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第二十八条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在评级结果有效期内发生可能影响评级对象偿债能力和偿债意愿的重大事项的，信用评级机构应当及时进行不定期跟踪评级，并公布跟踪评级结果。</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lastRenderedPageBreak/>
        <w:t>第二十九条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建立评级业务档案管理制度。业务档案应当包括受托开展评级业务的委托书、出具评级报告所依据的原始资料、工作底稿、初评报告、评级报告、内部信用评审委员会表决意见及会议记录、跟踪评级资料、跟踪评级报告等。业务档案应当保存至评级合同期满后五年、评级对象存续期满后五年或者评级对象违约后五年，且不得少于十年。</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第三十条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建立信用评级业务信息保密制度。对于在开展信用评级业务、处理信用评级数据库系统过程中知悉的国家秘密、商业秘密和个人隐私，信用评级机构及其从业人员应当依法履行保密义务。信用评级机构在中国境内采集的信息的整理、保存和加工，应当在中国境内进行。信用评级机构向境外组织或者个人提供信息，应当遵守法律法规以及信用评级行业主管部门和业务管理部门的有关规定。</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第三十一条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发生下列情形之一的，信用评级机构可以终止或者撤销评级：（一）受评经济主体及债务融资工具发行人拒不提供评级所需关键材料或者提供的材料存在虚假记载、误导性陈述或者重大遗漏的；（二）受评经济主体解散或者被依法宣告破产的；（三）受评债务融资工具不再存续的；（四）评级工作不能正常开展的其他情形。因上述原因终止或者撤销评级的，信用评级机构应当及时公告并说明原因。</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第三十二条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信用评级机构不得有下列行为：（一）篡改相关资料或者歪曲评级结果；（二）以承诺分享投资收益或者分担投资损失、</w:t>
      </w:r>
      <w:proofErr w:type="gramStart"/>
      <w:r w:rsidRPr="003A14D4">
        <w:rPr>
          <w:rFonts w:ascii="Arial" w:eastAsia="宋体" w:hAnsi="Arial" w:cs="Arial"/>
          <w:color w:val="333333"/>
          <w:kern w:val="0"/>
          <w:szCs w:val="21"/>
        </w:rPr>
        <w:t>承诺高</w:t>
      </w:r>
      <w:proofErr w:type="gramEnd"/>
      <w:r w:rsidRPr="003A14D4">
        <w:rPr>
          <w:rFonts w:ascii="Arial" w:eastAsia="宋体" w:hAnsi="Arial" w:cs="Arial"/>
          <w:color w:val="333333"/>
          <w:kern w:val="0"/>
          <w:szCs w:val="21"/>
        </w:rPr>
        <w:t>等级、承诺低收费、诋毁同行等手段招揽业务；（三）以挂靠、外包等形式允许其他机构使用其名义开展信用评级业务；（四）与受评经济主体、受评债务融资工具发行人或者相关第三</w:t>
      </w:r>
      <w:proofErr w:type="gramStart"/>
      <w:r w:rsidRPr="003A14D4">
        <w:rPr>
          <w:rFonts w:ascii="Arial" w:eastAsia="宋体" w:hAnsi="Arial" w:cs="Arial"/>
          <w:color w:val="333333"/>
          <w:kern w:val="0"/>
          <w:szCs w:val="21"/>
        </w:rPr>
        <w:t>方存在</w:t>
      </w:r>
      <w:proofErr w:type="gramEnd"/>
      <w:r w:rsidRPr="003A14D4">
        <w:rPr>
          <w:rFonts w:ascii="Arial" w:eastAsia="宋体" w:hAnsi="Arial" w:cs="Arial"/>
          <w:color w:val="333333"/>
          <w:kern w:val="0"/>
          <w:szCs w:val="21"/>
        </w:rPr>
        <w:t>不正当交易或者商业贿赂；（五）向受评经济主体、受评债务融资工具发行人或者相关第三方提供顾问或者咨询服务；（六）对受评经济主体、受评债务融资工具发行人或者相关第三方进行敲诈勒索；（七）违反信用评级业务规则，损害投资人、评级对象合法权益，损害信用</w:t>
      </w:r>
      <w:proofErr w:type="gramStart"/>
      <w:r w:rsidRPr="003A14D4">
        <w:rPr>
          <w:rFonts w:ascii="Arial" w:eastAsia="宋体" w:hAnsi="Arial" w:cs="Arial"/>
          <w:color w:val="333333"/>
          <w:kern w:val="0"/>
          <w:szCs w:val="21"/>
        </w:rPr>
        <w:t>评级业声誉</w:t>
      </w:r>
      <w:proofErr w:type="gramEnd"/>
      <w:r w:rsidRPr="003A14D4">
        <w:rPr>
          <w:rFonts w:ascii="Arial" w:eastAsia="宋体" w:hAnsi="Arial" w:cs="Arial"/>
          <w:color w:val="333333"/>
          <w:kern w:val="0"/>
          <w:szCs w:val="21"/>
        </w:rPr>
        <w:t>的其他行为。</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b/>
          <w:bCs/>
          <w:color w:val="333333"/>
          <w:kern w:val="0"/>
          <w:szCs w:val="21"/>
        </w:rPr>
        <w:t>第五章</w:t>
      </w:r>
      <w:r w:rsidRPr="003A14D4">
        <w:rPr>
          <w:rFonts w:ascii="Arial" w:eastAsia="宋体" w:hAnsi="Arial" w:cs="Arial"/>
          <w:b/>
          <w:bCs/>
          <w:color w:val="333333"/>
          <w:kern w:val="0"/>
          <w:szCs w:val="21"/>
        </w:rPr>
        <w:t xml:space="preserve"> </w:t>
      </w:r>
      <w:r w:rsidRPr="003A14D4">
        <w:rPr>
          <w:rFonts w:ascii="Arial" w:eastAsia="宋体" w:hAnsi="Arial" w:cs="Arial"/>
          <w:b/>
          <w:bCs/>
          <w:color w:val="333333"/>
          <w:kern w:val="0"/>
          <w:szCs w:val="21"/>
        </w:rPr>
        <w:t>独立性要求</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第三十三条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信用评级机构、信用评级从业人员应当在对经济主体、债务融资工具本身风险进行充分分析的基础之上独立得出信用评级结果，防止评级结果受到其他商业行为的不当影响。</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第三十四条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与受评经济主体或者受评债务融资工具发行人存在下列情形之一的，不得开展信用评级业务：（一）信用评级机构与受评经济主体或者受评债务融资工具发行人为同一实际控制人所控制，或者由同一股东</w:t>
      </w:r>
      <w:proofErr w:type="gramStart"/>
      <w:r w:rsidRPr="003A14D4">
        <w:rPr>
          <w:rFonts w:ascii="Arial" w:eastAsia="宋体" w:hAnsi="Arial" w:cs="Arial"/>
          <w:color w:val="333333"/>
          <w:kern w:val="0"/>
          <w:szCs w:val="21"/>
        </w:rPr>
        <w:t>持股均</w:t>
      </w:r>
      <w:proofErr w:type="gramEnd"/>
      <w:r w:rsidRPr="003A14D4">
        <w:rPr>
          <w:rFonts w:ascii="Arial" w:eastAsia="宋体" w:hAnsi="Arial" w:cs="Arial"/>
          <w:color w:val="333333"/>
          <w:kern w:val="0"/>
          <w:szCs w:val="21"/>
        </w:rPr>
        <w:t>达到</w:t>
      </w:r>
      <w:r w:rsidRPr="003A14D4">
        <w:rPr>
          <w:rFonts w:ascii="Arial" w:eastAsia="宋体" w:hAnsi="Arial" w:cs="Arial"/>
          <w:color w:val="333333"/>
          <w:kern w:val="0"/>
          <w:szCs w:val="21"/>
        </w:rPr>
        <w:t>5%</w:t>
      </w:r>
      <w:r w:rsidRPr="003A14D4">
        <w:rPr>
          <w:rFonts w:ascii="Arial" w:eastAsia="宋体" w:hAnsi="Arial" w:cs="Arial"/>
          <w:color w:val="333333"/>
          <w:kern w:val="0"/>
          <w:szCs w:val="21"/>
        </w:rPr>
        <w:t>以上；（二）受评经济主体、受评债务融资工具发行人或者其实际控制人直接或者间接持有信用评级机构出资额或者股份达到</w:t>
      </w:r>
      <w:r w:rsidRPr="003A14D4">
        <w:rPr>
          <w:rFonts w:ascii="Arial" w:eastAsia="宋体" w:hAnsi="Arial" w:cs="Arial"/>
          <w:color w:val="333333"/>
          <w:kern w:val="0"/>
          <w:szCs w:val="21"/>
        </w:rPr>
        <w:t>5%</w:t>
      </w:r>
      <w:r w:rsidRPr="003A14D4">
        <w:rPr>
          <w:rFonts w:ascii="Arial" w:eastAsia="宋体" w:hAnsi="Arial" w:cs="Arial"/>
          <w:color w:val="333333"/>
          <w:kern w:val="0"/>
          <w:szCs w:val="21"/>
        </w:rPr>
        <w:t>以上；（三）信用评级机构或者其实际控制人直接或者间接持有受评经济主体、受评债务融资工具发行人出资额或者股份达到</w:t>
      </w:r>
      <w:r w:rsidRPr="003A14D4">
        <w:rPr>
          <w:rFonts w:ascii="Arial" w:eastAsia="宋体" w:hAnsi="Arial" w:cs="Arial"/>
          <w:color w:val="333333"/>
          <w:kern w:val="0"/>
          <w:szCs w:val="21"/>
        </w:rPr>
        <w:t>5%</w:t>
      </w:r>
      <w:r w:rsidRPr="003A14D4">
        <w:rPr>
          <w:rFonts w:ascii="Arial" w:eastAsia="宋体" w:hAnsi="Arial" w:cs="Arial"/>
          <w:color w:val="333333"/>
          <w:kern w:val="0"/>
          <w:szCs w:val="21"/>
        </w:rPr>
        <w:t>以上；（四）信用评级机构或者其实际控制人在开展评级业务之前六个月内及开展评级业务期间买卖受评经济主体或者受评债务融资工具发行人发行的证券等产品；</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（五）影响信用评级机构独立性的其他情形。</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第三十五条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信用评级机构应当建立回避制度。信用评级从业人员在开展信用评级业务期间有下列情形之一的，应当回避：（一）本人、直系亲属持有受评经济主体或者受评债务融资工具发行人的出资额或者股份达到</w:t>
      </w:r>
      <w:r w:rsidRPr="003A14D4">
        <w:rPr>
          <w:rFonts w:ascii="Arial" w:eastAsia="宋体" w:hAnsi="Arial" w:cs="Arial"/>
          <w:color w:val="333333"/>
          <w:kern w:val="0"/>
          <w:szCs w:val="21"/>
        </w:rPr>
        <w:t>5%</w:t>
      </w:r>
      <w:r w:rsidRPr="003A14D4">
        <w:rPr>
          <w:rFonts w:ascii="Arial" w:eastAsia="宋体" w:hAnsi="Arial" w:cs="Arial"/>
          <w:color w:val="333333"/>
          <w:kern w:val="0"/>
          <w:szCs w:val="21"/>
        </w:rPr>
        <w:t>以上，或者是受评经济主体、受评债务融资工具发行人的实际控制人；（二）本人、直系亲属担任受评经济主体或者受评债务融资工具发行</w:t>
      </w:r>
      <w:r w:rsidRPr="003A14D4">
        <w:rPr>
          <w:rFonts w:ascii="Arial" w:eastAsia="宋体" w:hAnsi="Arial" w:cs="Arial"/>
          <w:color w:val="333333"/>
          <w:kern w:val="0"/>
          <w:szCs w:val="21"/>
        </w:rPr>
        <w:lastRenderedPageBreak/>
        <w:t>人的董事、监事或者高级管理人员；（三）本人、直系亲属担任受评经济主体或者受评债务融资工具发行人聘任的会计师事务所、律师事务所、财务顾问等服务机构的负责人或者项目签字人；（四）本人、直系亲属持有债务融资工具或者受评经济主体发行的证券金额超过</w:t>
      </w:r>
      <w:r w:rsidRPr="003A14D4">
        <w:rPr>
          <w:rFonts w:ascii="Arial" w:eastAsia="宋体" w:hAnsi="Arial" w:cs="Arial"/>
          <w:color w:val="333333"/>
          <w:kern w:val="0"/>
          <w:szCs w:val="21"/>
        </w:rPr>
        <w:t>50</w:t>
      </w:r>
      <w:r w:rsidRPr="003A14D4">
        <w:rPr>
          <w:rFonts w:ascii="Arial" w:eastAsia="宋体" w:hAnsi="Arial" w:cs="Arial"/>
          <w:color w:val="333333"/>
          <w:kern w:val="0"/>
          <w:szCs w:val="21"/>
        </w:rPr>
        <w:t>万元，或者与受评经济主体、受评债务融资工具发行人发生累计超过</w:t>
      </w:r>
      <w:r w:rsidRPr="003A14D4">
        <w:rPr>
          <w:rFonts w:ascii="Arial" w:eastAsia="宋体" w:hAnsi="Arial" w:cs="Arial"/>
          <w:color w:val="333333"/>
          <w:kern w:val="0"/>
          <w:szCs w:val="21"/>
        </w:rPr>
        <w:t>50</w:t>
      </w:r>
      <w:r w:rsidRPr="003A14D4">
        <w:rPr>
          <w:rFonts w:ascii="Arial" w:eastAsia="宋体" w:hAnsi="Arial" w:cs="Arial"/>
          <w:color w:val="333333"/>
          <w:kern w:val="0"/>
          <w:szCs w:val="21"/>
        </w:rPr>
        <w:t>万元的交易；（五）信用评级行业主管部门和业务管理部门认定的足以影响独立、客观、公正原则的其他情形。</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第三十六条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建立完善的公司治理机制，确保其主要股东及实际控制人在出资比例、股权比例或投票权等方面不存在足以影响评级独立性的情形。信用评级机构应当建立清晰合理的内部组织结构，建立健全防火墙，确保信用评级业务部门独立于营销等其他部门。信用评级机构应当建立独立的合</w:t>
      </w:r>
      <w:proofErr w:type="gramStart"/>
      <w:r w:rsidRPr="003A14D4">
        <w:rPr>
          <w:rFonts w:ascii="Arial" w:eastAsia="宋体" w:hAnsi="Arial" w:cs="Arial"/>
          <w:color w:val="333333"/>
          <w:kern w:val="0"/>
          <w:szCs w:val="21"/>
        </w:rPr>
        <w:t>规</w:t>
      </w:r>
      <w:proofErr w:type="gramEnd"/>
      <w:r w:rsidRPr="003A14D4">
        <w:rPr>
          <w:rFonts w:ascii="Arial" w:eastAsia="宋体" w:hAnsi="Arial" w:cs="Arial"/>
          <w:color w:val="333333"/>
          <w:kern w:val="0"/>
          <w:szCs w:val="21"/>
        </w:rPr>
        <w:t>部门，负责监督并报告评级机构及其员工的合</w:t>
      </w:r>
      <w:proofErr w:type="gramStart"/>
      <w:r w:rsidRPr="003A14D4">
        <w:rPr>
          <w:rFonts w:ascii="Arial" w:eastAsia="宋体" w:hAnsi="Arial" w:cs="Arial"/>
          <w:color w:val="333333"/>
          <w:kern w:val="0"/>
          <w:szCs w:val="21"/>
        </w:rPr>
        <w:t>规</w:t>
      </w:r>
      <w:proofErr w:type="gramEnd"/>
      <w:r w:rsidRPr="003A14D4">
        <w:rPr>
          <w:rFonts w:ascii="Arial" w:eastAsia="宋体" w:hAnsi="Arial" w:cs="Arial"/>
          <w:color w:val="333333"/>
          <w:kern w:val="0"/>
          <w:szCs w:val="21"/>
        </w:rPr>
        <w:t>状况。</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第三十七条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信用评级从业人员的薪酬不得与评级对象的信用级别、债务融资工具发行状况等因素相关联。</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b/>
          <w:bCs/>
          <w:color w:val="333333"/>
          <w:kern w:val="0"/>
          <w:szCs w:val="21"/>
        </w:rPr>
        <w:t>第六章</w:t>
      </w:r>
      <w:r w:rsidRPr="003A14D4">
        <w:rPr>
          <w:rFonts w:ascii="Arial" w:eastAsia="宋体" w:hAnsi="Arial" w:cs="Arial"/>
          <w:b/>
          <w:bCs/>
          <w:color w:val="333333"/>
          <w:kern w:val="0"/>
          <w:szCs w:val="21"/>
        </w:rPr>
        <w:t xml:space="preserve"> </w:t>
      </w:r>
      <w:r w:rsidRPr="003A14D4">
        <w:rPr>
          <w:rFonts w:ascii="Arial" w:eastAsia="宋体" w:hAnsi="Arial" w:cs="Arial"/>
          <w:b/>
          <w:bCs/>
          <w:color w:val="333333"/>
          <w:kern w:val="0"/>
          <w:szCs w:val="21"/>
        </w:rPr>
        <w:t>信息披露要求</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第三十八条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信用评级机构应当通过信用评级行业主管部门和业务管理部门指定的网站和其公司网站进行信息披露。</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第三十九条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披露下列基本信息：（一）机构基本情况、经营范围；（二）股东及其出资额或者所持股份、出资方式、出资比例、股东之间是否存在关联关系的说明，股权变更信息；（三）保证评级质量的内部控制制度；（四）评级报告采用的评级符号、评级方法、评级模型和关键假设，披露程度以反映评级可靠性为限，不得涉及商业秘密或妨碍创新。以上内容发生变更的，应当披露变更原因和对已评级项目的影响。</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第四十条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信用评级机构应当在每个财务年度结束之日起四个月内披露下列独立性相关信息：（一）每年对其独立性的内部审核结果；（二）信用评级分析人员轮换政策；（三）财务年度评级收入前</w:t>
      </w:r>
      <w:r w:rsidRPr="003A14D4">
        <w:rPr>
          <w:rFonts w:ascii="Arial" w:eastAsia="宋体" w:hAnsi="Arial" w:cs="Arial"/>
          <w:color w:val="333333"/>
          <w:kern w:val="0"/>
          <w:szCs w:val="21"/>
        </w:rPr>
        <w:t>20</w:t>
      </w:r>
      <w:r w:rsidRPr="003A14D4">
        <w:rPr>
          <w:rFonts w:ascii="Arial" w:eastAsia="宋体" w:hAnsi="Arial" w:cs="Arial"/>
          <w:color w:val="333333"/>
          <w:kern w:val="0"/>
          <w:szCs w:val="21"/>
        </w:rPr>
        <w:t>名或者占比</w:t>
      </w:r>
      <w:r w:rsidRPr="003A14D4">
        <w:rPr>
          <w:rFonts w:ascii="Arial" w:eastAsia="宋体" w:hAnsi="Arial" w:cs="Arial"/>
          <w:color w:val="333333"/>
          <w:kern w:val="0"/>
          <w:szCs w:val="21"/>
        </w:rPr>
        <w:t>5%</w:t>
      </w:r>
      <w:r w:rsidRPr="003A14D4">
        <w:rPr>
          <w:rFonts w:ascii="Arial" w:eastAsia="宋体" w:hAnsi="Arial" w:cs="Arial"/>
          <w:color w:val="333333"/>
          <w:kern w:val="0"/>
          <w:szCs w:val="21"/>
        </w:rPr>
        <w:t>以上的客户名单；（四）信用评级机构的关联公司为受评经济主体、受评债务融资工具发行人或者相关第三方提供顾问、咨询服务的情况；（五）信用评级机构为受评经济主体、受评债务融资工具发行人或者相关第三方提供其他附加服务的情况。信用评级机构在前款规定时间内将前款第三项信息向行业主管部门以及业务管理部门备案的，可以不披露该信息。</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第四十一条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信用评级机构应当披露下列评级质量相关信息：（一）一年、三年、五年期的信用评级违约率和信用等级迁移情况；（二）任何终止或撤销信用评级的决定及原因；（三）其他依法应当披露的信息。</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第四十二条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信用评级机构应当披露开展信用评级项目依据的主要信息来源。</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第四十三条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信用评级机构应当披露聘用第三方进行尽职调查的情况。</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第四十四条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信用评级机构开展结构化融资产品信用评级的，应当持续更新，并按照第三十九条第一款第四项的要求，及时披露结构化融资产品评级方法、评级模型和关键假设。</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b/>
          <w:bCs/>
          <w:color w:val="333333"/>
          <w:kern w:val="0"/>
          <w:szCs w:val="21"/>
        </w:rPr>
        <w:t>第七章</w:t>
      </w:r>
      <w:r w:rsidRPr="003A14D4">
        <w:rPr>
          <w:rFonts w:ascii="Arial" w:eastAsia="宋体" w:hAnsi="Arial" w:cs="Arial"/>
          <w:b/>
          <w:bCs/>
          <w:color w:val="333333"/>
          <w:kern w:val="0"/>
          <w:szCs w:val="21"/>
        </w:rPr>
        <w:t xml:space="preserve"> </w:t>
      </w:r>
      <w:r w:rsidRPr="003A14D4">
        <w:rPr>
          <w:rFonts w:ascii="Arial" w:eastAsia="宋体" w:hAnsi="Arial" w:cs="Arial"/>
          <w:b/>
          <w:bCs/>
          <w:color w:val="333333"/>
          <w:kern w:val="0"/>
          <w:szCs w:val="21"/>
        </w:rPr>
        <w:t>监督管理</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第四十五条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行业主管部门、业务管理部门及其派出机构依照法律法规和本办法相关规定，履行对信用评级机构的监督管理职责，可以采取下列监督检查措施：（一）进入信用评级机构进行现场检查；（二）询问相关的单位和个人，要求其对有关事项</w:t>
      </w:r>
      <w:proofErr w:type="gramStart"/>
      <w:r w:rsidRPr="003A14D4">
        <w:rPr>
          <w:rFonts w:ascii="Arial" w:eastAsia="宋体" w:hAnsi="Arial" w:cs="Arial"/>
          <w:color w:val="333333"/>
          <w:kern w:val="0"/>
          <w:szCs w:val="21"/>
        </w:rPr>
        <w:t>作出</w:t>
      </w:r>
      <w:proofErr w:type="gramEnd"/>
      <w:r w:rsidRPr="003A14D4">
        <w:rPr>
          <w:rFonts w:ascii="Arial" w:eastAsia="宋体" w:hAnsi="Arial" w:cs="Arial"/>
          <w:color w:val="333333"/>
          <w:kern w:val="0"/>
          <w:szCs w:val="21"/>
        </w:rPr>
        <w:t>说明；</w:t>
      </w:r>
      <w:r w:rsidRPr="003A14D4">
        <w:rPr>
          <w:rFonts w:ascii="Arial" w:eastAsia="宋体" w:hAnsi="Arial" w:cs="Arial"/>
          <w:color w:val="333333"/>
          <w:kern w:val="0"/>
          <w:szCs w:val="21"/>
        </w:rPr>
        <w:lastRenderedPageBreak/>
        <w:t>（三）查询、复制相关文件、资料，封存可能被转移、销毁、隐匿或者篡改的文件、资料；（四）检查信用评级数据库系统；（五）其他现场检查措施。</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第四十六条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现场检查内容包括下列事项：（一）备案信息与实际情况的一致性；（二）信用评级业务与评级模型、程序、方法的一致性；（三）内部管理情况；（四）独立性管理情况；（五）信息披露情况；（六）执行信用评级行业主管部门、业务管理部门信用评级管理规定情况；（七）信用评级行业主管部门、业务管理部门认为有必要检查的其他内容。</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第四十七条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现场检查程序按照信用评级行业主管部门、业务管理部门的规定执行。相关信用评级机构和从业人员应当配合，如实提供有关文件、资料，不得隐瞒、拒绝和阻碍。</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第四十八条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按照相关规定向信用评级行业主管部门、业务管理部门及其派出机构报送信用评级结果、信用评级报告、统计报表、违约率数据、经审计的财务报表、财务年度信用评级工作报告等资料，并对报表和资料的真实性、准确性、完整性负责。</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第四十九条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信用评级行业主管部门、业务管理部门及其派出机构对信用评级机构报送内容进行监测、分析和统计。对发现的问题依据本办法相关规定及时处理。</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第五十条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信用评级行业主管部门组织建立违约率检验系统对信用评级结果进行事后检验，并建立违约率检验和通报机制。</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第五十一条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信用评级行业主管部门可以将现场与非现场检查情况形成行业监管报告并适时公布。</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第五十二条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信用评级行业主管部门、业务管理部门及其派出机构根据监管需要，可以约谈信用评级机构董事、监事和高级管理人员，要求其就相关重大事项</w:t>
      </w:r>
      <w:proofErr w:type="gramStart"/>
      <w:r w:rsidRPr="003A14D4">
        <w:rPr>
          <w:rFonts w:ascii="Arial" w:eastAsia="宋体" w:hAnsi="Arial" w:cs="Arial"/>
          <w:color w:val="333333"/>
          <w:kern w:val="0"/>
          <w:szCs w:val="21"/>
        </w:rPr>
        <w:t>作出</w:t>
      </w:r>
      <w:proofErr w:type="gramEnd"/>
      <w:r w:rsidRPr="003A14D4">
        <w:rPr>
          <w:rFonts w:ascii="Arial" w:eastAsia="宋体" w:hAnsi="Arial" w:cs="Arial"/>
          <w:color w:val="333333"/>
          <w:kern w:val="0"/>
          <w:szCs w:val="21"/>
        </w:rPr>
        <w:t>说明。</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b/>
          <w:bCs/>
          <w:color w:val="333333"/>
          <w:kern w:val="0"/>
          <w:szCs w:val="21"/>
        </w:rPr>
        <w:t>第八章</w:t>
      </w:r>
      <w:r w:rsidRPr="003A14D4">
        <w:rPr>
          <w:rFonts w:ascii="Arial" w:eastAsia="宋体" w:hAnsi="Arial" w:cs="Arial"/>
          <w:b/>
          <w:bCs/>
          <w:color w:val="333333"/>
          <w:kern w:val="0"/>
          <w:szCs w:val="21"/>
        </w:rPr>
        <w:t xml:space="preserve"> </w:t>
      </w:r>
      <w:r w:rsidRPr="003A14D4">
        <w:rPr>
          <w:rFonts w:ascii="Arial" w:eastAsia="宋体" w:hAnsi="Arial" w:cs="Arial"/>
          <w:b/>
          <w:bCs/>
          <w:color w:val="333333"/>
          <w:kern w:val="0"/>
          <w:szCs w:val="21"/>
        </w:rPr>
        <w:t>法律责任</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第五十三条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行业主管部门、业务管理部门及其派出机构的工作人员泄露知悉的国家秘密或者商业秘密，或者徇私舞弊、滥用职权、玩忽职守的，依法给予行政处分；涉嫌构成犯罪的，移送司法机关依法追究刑事责任。</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第五十四条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信用评级机构及其从业人员违反本办法的，依照本章的有关规定给予处罚。</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法律法规和业务管理部门另有规定的，从其规定。</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第五十五条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信用评级机构开展业务，未按本办法规定办理备案的，由信用评级行业主管部门或者其省一级派出机构责令限期改正，并处未备案期间评级业务收入</w:t>
      </w:r>
      <w:r w:rsidRPr="003A14D4">
        <w:rPr>
          <w:rFonts w:ascii="Arial" w:eastAsia="宋体" w:hAnsi="Arial" w:cs="Arial"/>
          <w:color w:val="333333"/>
          <w:kern w:val="0"/>
          <w:szCs w:val="21"/>
        </w:rPr>
        <w:t>50%</w:t>
      </w:r>
      <w:r w:rsidRPr="003A14D4">
        <w:rPr>
          <w:rFonts w:ascii="Arial" w:eastAsia="宋体" w:hAnsi="Arial" w:cs="Arial"/>
          <w:color w:val="333333"/>
          <w:kern w:val="0"/>
          <w:szCs w:val="21"/>
        </w:rPr>
        <w:t>的罚款，没有评级业务收入或者评级业务收入无法计算的，处</w:t>
      </w:r>
      <w:r w:rsidRPr="003A14D4">
        <w:rPr>
          <w:rFonts w:ascii="Arial" w:eastAsia="宋体" w:hAnsi="Arial" w:cs="Arial"/>
          <w:color w:val="333333"/>
          <w:kern w:val="0"/>
          <w:szCs w:val="21"/>
        </w:rPr>
        <w:t>50</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200</w:t>
      </w:r>
      <w:r w:rsidRPr="003A14D4">
        <w:rPr>
          <w:rFonts w:ascii="Arial" w:eastAsia="宋体" w:hAnsi="Arial" w:cs="Arial"/>
          <w:color w:val="333333"/>
          <w:kern w:val="0"/>
          <w:szCs w:val="21"/>
        </w:rPr>
        <w:t>万元以下的罚款；逾期不改正的，处未备案期间评级业务收入</w:t>
      </w:r>
      <w:r w:rsidRPr="003A14D4">
        <w:rPr>
          <w:rFonts w:ascii="Arial" w:eastAsia="宋体" w:hAnsi="Arial" w:cs="Arial"/>
          <w:color w:val="333333"/>
          <w:kern w:val="0"/>
          <w:szCs w:val="21"/>
        </w:rPr>
        <w:t>1</w:t>
      </w:r>
      <w:r w:rsidRPr="003A14D4">
        <w:rPr>
          <w:rFonts w:ascii="Arial" w:eastAsia="宋体" w:hAnsi="Arial" w:cs="Arial"/>
          <w:color w:val="333333"/>
          <w:kern w:val="0"/>
          <w:szCs w:val="21"/>
        </w:rPr>
        <w:t>倍以上</w:t>
      </w:r>
      <w:r w:rsidRPr="003A14D4">
        <w:rPr>
          <w:rFonts w:ascii="Arial" w:eastAsia="宋体" w:hAnsi="Arial" w:cs="Arial"/>
          <w:color w:val="333333"/>
          <w:kern w:val="0"/>
          <w:szCs w:val="21"/>
        </w:rPr>
        <w:t>3</w:t>
      </w:r>
      <w:r w:rsidRPr="003A14D4">
        <w:rPr>
          <w:rFonts w:ascii="Arial" w:eastAsia="宋体" w:hAnsi="Arial" w:cs="Arial"/>
          <w:color w:val="333333"/>
          <w:kern w:val="0"/>
          <w:szCs w:val="21"/>
        </w:rPr>
        <w:t>倍以下的罚款，没有评级业务收入或者评级业务收入无法计算的，处</w:t>
      </w:r>
      <w:r w:rsidRPr="003A14D4">
        <w:rPr>
          <w:rFonts w:ascii="Arial" w:eastAsia="宋体" w:hAnsi="Arial" w:cs="Arial"/>
          <w:color w:val="333333"/>
          <w:kern w:val="0"/>
          <w:szCs w:val="21"/>
        </w:rPr>
        <w:t>200</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500</w:t>
      </w:r>
      <w:r w:rsidRPr="003A14D4">
        <w:rPr>
          <w:rFonts w:ascii="Arial" w:eastAsia="宋体" w:hAnsi="Arial" w:cs="Arial"/>
          <w:color w:val="333333"/>
          <w:kern w:val="0"/>
          <w:szCs w:val="21"/>
        </w:rPr>
        <w:t>万元以下的罚款。</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第五十六条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信用评级机构未按本办法规定办理信用评级从业人员备案的，由信用评级行业主管部门或者其省一级派出机构责令限期改正，对信用评级</w:t>
      </w:r>
      <w:proofErr w:type="gramStart"/>
      <w:r w:rsidRPr="003A14D4">
        <w:rPr>
          <w:rFonts w:ascii="Arial" w:eastAsia="宋体" w:hAnsi="Arial" w:cs="Arial"/>
          <w:color w:val="333333"/>
          <w:kern w:val="0"/>
          <w:szCs w:val="21"/>
        </w:rPr>
        <w:t>机构处该评级</w:t>
      </w:r>
      <w:proofErr w:type="gramEnd"/>
      <w:r w:rsidRPr="003A14D4">
        <w:rPr>
          <w:rFonts w:ascii="Arial" w:eastAsia="宋体" w:hAnsi="Arial" w:cs="Arial"/>
          <w:color w:val="333333"/>
          <w:kern w:val="0"/>
          <w:szCs w:val="21"/>
        </w:rPr>
        <w:t>从业人员未备案期间参与的评级业务收入</w:t>
      </w:r>
      <w:r w:rsidRPr="003A14D4">
        <w:rPr>
          <w:rFonts w:ascii="Arial" w:eastAsia="宋体" w:hAnsi="Arial" w:cs="Arial"/>
          <w:color w:val="333333"/>
          <w:kern w:val="0"/>
          <w:szCs w:val="21"/>
        </w:rPr>
        <w:t>50%</w:t>
      </w:r>
      <w:r w:rsidRPr="003A14D4">
        <w:rPr>
          <w:rFonts w:ascii="Arial" w:eastAsia="宋体" w:hAnsi="Arial" w:cs="Arial"/>
          <w:color w:val="333333"/>
          <w:kern w:val="0"/>
          <w:szCs w:val="21"/>
        </w:rPr>
        <w:t>的罚款，没有评级业务收入或者评级业务收入无法计算的，处</w:t>
      </w:r>
      <w:r w:rsidRPr="003A14D4">
        <w:rPr>
          <w:rFonts w:ascii="Arial" w:eastAsia="宋体" w:hAnsi="Arial" w:cs="Arial"/>
          <w:color w:val="333333"/>
          <w:kern w:val="0"/>
          <w:szCs w:val="21"/>
        </w:rPr>
        <w:t>20</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50</w:t>
      </w:r>
      <w:r w:rsidRPr="003A14D4">
        <w:rPr>
          <w:rFonts w:ascii="Arial" w:eastAsia="宋体" w:hAnsi="Arial" w:cs="Arial"/>
          <w:color w:val="333333"/>
          <w:kern w:val="0"/>
          <w:szCs w:val="21"/>
        </w:rPr>
        <w:t>万元以下的罚款；逾期不改正的，对信用评级</w:t>
      </w:r>
      <w:proofErr w:type="gramStart"/>
      <w:r w:rsidRPr="003A14D4">
        <w:rPr>
          <w:rFonts w:ascii="Arial" w:eastAsia="宋体" w:hAnsi="Arial" w:cs="Arial"/>
          <w:color w:val="333333"/>
          <w:kern w:val="0"/>
          <w:szCs w:val="21"/>
        </w:rPr>
        <w:t>机构处该评级</w:t>
      </w:r>
      <w:proofErr w:type="gramEnd"/>
      <w:r w:rsidRPr="003A14D4">
        <w:rPr>
          <w:rFonts w:ascii="Arial" w:eastAsia="宋体" w:hAnsi="Arial" w:cs="Arial"/>
          <w:color w:val="333333"/>
          <w:kern w:val="0"/>
          <w:szCs w:val="21"/>
        </w:rPr>
        <w:t>从业人员未备案期间参与的评级业务收入</w:t>
      </w:r>
      <w:r w:rsidRPr="003A14D4">
        <w:rPr>
          <w:rFonts w:ascii="Arial" w:eastAsia="宋体" w:hAnsi="Arial" w:cs="Arial"/>
          <w:color w:val="333333"/>
          <w:kern w:val="0"/>
          <w:szCs w:val="21"/>
        </w:rPr>
        <w:t>1</w:t>
      </w:r>
      <w:r w:rsidRPr="003A14D4">
        <w:rPr>
          <w:rFonts w:ascii="Arial" w:eastAsia="宋体" w:hAnsi="Arial" w:cs="Arial"/>
          <w:color w:val="333333"/>
          <w:kern w:val="0"/>
          <w:szCs w:val="21"/>
        </w:rPr>
        <w:t>倍以上</w:t>
      </w:r>
      <w:r w:rsidRPr="003A14D4">
        <w:rPr>
          <w:rFonts w:ascii="Arial" w:eastAsia="宋体" w:hAnsi="Arial" w:cs="Arial"/>
          <w:color w:val="333333"/>
          <w:kern w:val="0"/>
          <w:szCs w:val="21"/>
        </w:rPr>
        <w:t>3</w:t>
      </w:r>
      <w:r w:rsidRPr="003A14D4">
        <w:rPr>
          <w:rFonts w:ascii="Arial" w:eastAsia="宋体" w:hAnsi="Arial" w:cs="Arial"/>
          <w:color w:val="333333"/>
          <w:kern w:val="0"/>
          <w:szCs w:val="21"/>
        </w:rPr>
        <w:t>倍以下的罚款，没有评级业务收入或者评级业务收入无法计算的，处</w:t>
      </w:r>
      <w:r w:rsidRPr="003A14D4">
        <w:rPr>
          <w:rFonts w:ascii="Arial" w:eastAsia="宋体" w:hAnsi="Arial" w:cs="Arial"/>
          <w:color w:val="333333"/>
          <w:kern w:val="0"/>
          <w:szCs w:val="21"/>
        </w:rPr>
        <w:t>50</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200</w:t>
      </w:r>
      <w:r w:rsidRPr="003A14D4">
        <w:rPr>
          <w:rFonts w:ascii="Arial" w:eastAsia="宋体" w:hAnsi="Arial" w:cs="Arial"/>
          <w:color w:val="333333"/>
          <w:kern w:val="0"/>
          <w:szCs w:val="21"/>
        </w:rPr>
        <w:t>万元以下的罚款。</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第五十七条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信用评级机构隐瞒相关情况或者提交虚假备案材料的，信用评级行业主管部门省一级派出机构不予办理备案或者注销备案；已经开展信用评级业务的，处虚假备案期</w:t>
      </w:r>
      <w:r w:rsidRPr="003A14D4">
        <w:rPr>
          <w:rFonts w:ascii="Arial" w:eastAsia="宋体" w:hAnsi="Arial" w:cs="Arial"/>
          <w:color w:val="333333"/>
          <w:kern w:val="0"/>
          <w:szCs w:val="21"/>
        </w:rPr>
        <w:lastRenderedPageBreak/>
        <w:t>间评级业务收入</w:t>
      </w:r>
      <w:r w:rsidRPr="003A14D4">
        <w:rPr>
          <w:rFonts w:ascii="Arial" w:eastAsia="宋体" w:hAnsi="Arial" w:cs="Arial"/>
          <w:color w:val="333333"/>
          <w:kern w:val="0"/>
          <w:szCs w:val="21"/>
        </w:rPr>
        <w:t>50%</w:t>
      </w:r>
      <w:r w:rsidRPr="003A14D4">
        <w:rPr>
          <w:rFonts w:ascii="Arial" w:eastAsia="宋体" w:hAnsi="Arial" w:cs="Arial"/>
          <w:color w:val="333333"/>
          <w:kern w:val="0"/>
          <w:szCs w:val="21"/>
        </w:rPr>
        <w:t>的罚款，没有评级业务收入或者评级业务收入无法计算的，处</w:t>
      </w:r>
      <w:r w:rsidRPr="003A14D4">
        <w:rPr>
          <w:rFonts w:ascii="Arial" w:eastAsia="宋体" w:hAnsi="Arial" w:cs="Arial"/>
          <w:color w:val="333333"/>
          <w:kern w:val="0"/>
          <w:szCs w:val="21"/>
        </w:rPr>
        <w:t>50</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200</w:t>
      </w:r>
      <w:r w:rsidRPr="003A14D4">
        <w:rPr>
          <w:rFonts w:ascii="Arial" w:eastAsia="宋体" w:hAnsi="Arial" w:cs="Arial"/>
          <w:color w:val="333333"/>
          <w:kern w:val="0"/>
          <w:szCs w:val="21"/>
        </w:rPr>
        <w:t>万元以下的罚款；情节严重的，处虚假备案期间评级业务收入</w:t>
      </w:r>
      <w:r w:rsidRPr="003A14D4">
        <w:rPr>
          <w:rFonts w:ascii="Arial" w:eastAsia="宋体" w:hAnsi="Arial" w:cs="Arial"/>
          <w:color w:val="333333"/>
          <w:kern w:val="0"/>
          <w:szCs w:val="21"/>
        </w:rPr>
        <w:t>1</w:t>
      </w:r>
      <w:r w:rsidRPr="003A14D4">
        <w:rPr>
          <w:rFonts w:ascii="Arial" w:eastAsia="宋体" w:hAnsi="Arial" w:cs="Arial"/>
          <w:color w:val="333333"/>
          <w:kern w:val="0"/>
          <w:szCs w:val="21"/>
        </w:rPr>
        <w:t>倍以上</w:t>
      </w:r>
      <w:r w:rsidRPr="003A14D4">
        <w:rPr>
          <w:rFonts w:ascii="Arial" w:eastAsia="宋体" w:hAnsi="Arial" w:cs="Arial"/>
          <w:color w:val="333333"/>
          <w:kern w:val="0"/>
          <w:szCs w:val="21"/>
        </w:rPr>
        <w:t>3</w:t>
      </w:r>
      <w:r w:rsidRPr="003A14D4">
        <w:rPr>
          <w:rFonts w:ascii="Arial" w:eastAsia="宋体" w:hAnsi="Arial" w:cs="Arial"/>
          <w:color w:val="333333"/>
          <w:kern w:val="0"/>
          <w:szCs w:val="21"/>
        </w:rPr>
        <w:t>倍以下的罚款，没有评级业务收入或者评级业务收入无法计算的，处</w:t>
      </w:r>
      <w:r w:rsidRPr="003A14D4">
        <w:rPr>
          <w:rFonts w:ascii="Arial" w:eastAsia="宋体" w:hAnsi="Arial" w:cs="Arial"/>
          <w:color w:val="333333"/>
          <w:kern w:val="0"/>
          <w:szCs w:val="21"/>
        </w:rPr>
        <w:t>200</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500</w:t>
      </w:r>
      <w:r w:rsidRPr="003A14D4">
        <w:rPr>
          <w:rFonts w:ascii="Arial" w:eastAsia="宋体" w:hAnsi="Arial" w:cs="Arial"/>
          <w:color w:val="333333"/>
          <w:kern w:val="0"/>
          <w:szCs w:val="21"/>
        </w:rPr>
        <w:t>万元以下的罚款。</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第五十八条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信用评级机构违反本办法规定，有下列行为之一的，由信用评级行业主管部门、业务管理部门或者其派出机构给予警告，并</w:t>
      </w:r>
      <w:proofErr w:type="gramStart"/>
      <w:r w:rsidRPr="003A14D4">
        <w:rPr>
          <w:rFonts w:ascii="Arial" w:eastAsia="宋体" w:hAnsi="Arial" w:cs="Arial"/>
          <w:color w:val="333333"/>
          <w:kern w:val="0"/>
          <w:szCs w:val="21"/>
        </w:rPr>
        <w:t>处相关</w:t>
      </w:r>
      <w:proofErr w:type="gramEnd"/>
      <w:r w:rsidRPr="003A14D4">
        <w:rPr>
          <w:rFonts w:ascii="Arial" w:eastAsia="宋体" w:hAnsi="Arial" w:cs="Arial"/>
          <w:color w:val="333333"/>
          <w:kern w:val="0"/>
          <w:szCs w:val="21"/>
        </w:rPr>
        <w:t>评级业务收入</w:t>
      </w:r>
      <w:r w:rsidRPr="003A14D4">
        <w:rPr>
          <w:rFonts w:ascii="Arial" w:eastAsia="宋体" w:hAnsi="Arial" w:cs="Arial"/>
          <w:color w:val="333333"/>
          <w:kern w:val="0"/>
          <w:szCs w:val="21"/>
        </w:rPr>
        <w:t>50%</w:t>
      </w:r>
      <w:r w:rsidRPr="003A14D4">
        <w:rPr>
          <w:rFonts w:ascii="Arial" w:eastAsia="宋体" w:hAnsi="Arial" w:cs="Arial"/>
          <w:color w:val="333333"/>
          <w:kern w:val="0"/>
          <w:szCs w:val="21"/>
        </w:rPr>
        <w:t>的罚款，没有评级业务收入或者评级业务收入无法计算的，处</w:t>
      </w:r>
      <w:r w:rsidRPr="003A14D4">
        <w:rPr>
          <w:rFonts w:ascii="Arial" w:eastAsia="宋体" w:hAnsi="Arial" w:cs="Arial"/>
          <w:color w:val="333333"/>
          <w:kern w:val="0"/>
          <w:szCs w:val="21"/>
        </w:rPr>
        <w:t>50</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200</w:t>
      </w:r>
      <w:r w:rsidRPr="003A14D4">
        <w:rPr>
          <w:rFonts w:ascii="Arial" w:eastAsia="宋体" w:hAnsi="Arial" w:cs="Arial"/>
          <w:color w:val="333333"/>
          <w:kern w:val="0"/>
          <w:szCs w:val="21"/>
        </w:rPr>
        <w:t>万元以下的罚款；情节严重或者拒不改正的，并</w:t>
      </w:r>
      <w:proofErr w:type="gramStart"/>
      <w:r w:rsidRPr="003A14D4">
        <w:rPr>
          <w:rFonts w:ascii="Arial" w:eastAsia="宋体" w:hAnsi="Arial" w:cs="Arial"/>
          <w:color w:val="333333"/>
          <w:kern w:val="0"/>
          <w:szCs w:val="21"/>
        </w:rPr>
        <w:t>处相关</w:t>
      </w:r>
      <w:proofErr w:type="gramEnd"/>
      <w:r w:rsidRPr="003A14D4">
        <w:rPr>
          <w:rFonts w:ascii="Arial" w:eastAsia="宋体" w:hAnsi="Arial" w:cs="Arial"/>
          <w:color w:val="333333"/>
          <w:kern w:val="0"/>
          <w:szCs w:val="21"/>
        </w:rPr>
        <w:t>评级业务收入</w:t>
      </w:r>
      <w:r w:rsidRPr="003A14D4">
        <w:rPr>
          <w:rFonts w:ascii="Arial" w:eastAsia="宋体" w:hAnsi="Arial" w:cs="Arial"/>
          <w:color w:val="333333"/>
          <w:kern w:val="0"/>
          <w:szCs w:val="21"/>
        </w:rPr>
        <w:t>1</w:t>
      </w:r>
      <w:r w:rsidRPr="003A14D4">
        <w:rPr>
          <w:rFonts w:ascii="Arial" w:eastAsia="宋体" w:hAnsi="Arial" w:cs="Arial"/>
          <w:color w:val="333333"/>
          <w:kern w:val="0"/>
          <w:szCs w:val="21"/>
        </w:rPr>
        <w:t>倍以上</w:t>
      </w:r>
      <w:r w:rsidRPr="003A14D4">
        <w:rPr>
          <w:rFonts w:ascii="Arial" w:eastAsia="宋体" w:hAnsi="Arial" w:cs="Arial"/>
          <w:color w:val="333333"/>
          <w:kern w:val="0"/>
          <w:szCs w:val="21"/>
        </w:rPr>
        <w:t>3</w:t>
      </w:r>
      <w:r w:rsidRPr="003A14D4">
        <w:rPr>
          <w:rFonts w:ascii="Arial" w:eastAsia="宋体" w:hAnsi="Arial" w:cs="Arial"/>
          <w:color w:val="333333"/>
          <w:kern w:val="0"/>
          <w:szCs w:val="21"/>
        </w:rPr>
        <w:t>倍以下的罚款，没有评级业务收入或者评级业务收入无法计算的，处</w:t>
      </w:r>
      <w:r w:rsidRPr="003A14D4">
        <w:rPr>
          <w:rFonts w:ascii="Arial" w:eastAsia="宋体" w:hAnsi="Arial" w:cs="Arial"/>
          <w:color w:val="333333"/>
          <w:kern w:val="0"/>
          <w:szCs w:val="21"/>
        </w:rPr>
        <w:t>200</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500</w:t>
      </w:r>
      <w:r w:rsidRPr="003A14D4">
        <w:rPr>
          <w:rFonts w:ascii="Arial" w:eastAsia="宋体" w:hAnsi="Arial" w:cs="Arial"/>
          <w:color w:val="333333"/>
          <w:kern w:val="0"/>
          <w:szCs w:val="21"/>
        </w:rPr>
        <w:t>万元以下的罚款；对直接责任人员给予警告，并处</w:t>
      </w:r>
      <w:r w:rsidRPr="003A14D4">
        <w:rPr>
          <w:rFonts w:ascii="Arial" w:eastAsia="宋体" w:hAnsi="Arial" w:cs="Arial"/>
          <w:color w:val="333333"/>
          <w:kern w:val="0"/>
          <w:szCs w:val="21"/>
        </w:rPr>
        <w:t>3</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10</w:t>
      </w:r>
      <w:r w:rsidRPr="003A14D4">
        <w:rPr>
          <w:rFonts w:ascii="Arial" w:eastAsia="宋体" w:hAnsi="Arial" w:cs="Arial"/>
          <w:color w:val="333333"/>
          <w:kern w:val="0"/>
          <w:szCs w:val="21"/>
        </w:rPr>
        <w:t>万元以下的罚款</w:t>
      </w:r>
      <w:r w:rsidRPr="003A14D4">
        <w:rPr>
          <w:rFonts w:ascii="Arial" w:eastAsia="宋体" w:hAnsi="Arial" w:cs="Arial"/>
          <w:color w:val="333333"/>
          <w:kern w:val="0"/>
          <w:szCs w:val="21"/>
        </w:rPr>
        <w:t>:</w:t>
      </w:r>
      <w:r w:rsidRPr="003A14D4">
        <w:rPr>
          <w:rFonts w:ascii="Arial" w:eastAsia="宋体" w:hAnsi="Arial" w:cs="Arial"/>
          <w:color w:val="333333"/>
          <w:kern w:val="0"/>
          <w:szCs w:val="21"/>
        </w:rPr>
        <w:t>（一）未按照法定评级程序及业务规则开展信用评级业务的；（二）违反独立性要求的；（三）未按照规定披露信息或者披露虚假信息的。</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第五十九条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信用评级机构违反本办法规定，有下列行为之一的，由信用评级行业主管部门、业务管理部门或者其派出机构给予警告，并处</w:t>
      </w:r>
      <w:r w:rsidRPr="003A14D4">
        <w:rPr>
          <w:rFonts w:ascii="Arial" w:eastAsia="宋体" w:hAnsi="Arial" w:cs="Arial"/>
          <w:color w:val="333333"/>
          <w:kern w:val="0"/>
          <w:szCs w:val="21"/>
        </w:rPr>
        <w:t>3</w:t>
      </w:r>
      <w:r w:rsidRPr="003A14D4">
        <w:rPr>
          <w:rFonts w:ascii="Arial" w:eastAsia="宋体" w:hAnsi="Arial" w:cs="Arial"/>
          <w:color w:val="333333"/>
          <w:kern w:val="0"/>
          <w:szCs w:val="21"/>
        </w:rPr>
        <w:t>万元罚款；拒不改正的，自违规行为发生之日起每日处</w:t>
      </w:r>
      <w:r w:rsidRPr="003A14D4">
        <w:rPr>
          <w:rFonts w:ascii="Arial" w:eastAsia="宋体" w:hAnsi="Arial" w:cs="Arial"/>
          <w:color w:val="333333"/>
          <w:kern w:val="0"/>
          <w:szCs w:val="21"/>
        </w:rPr>
        <w:t>1</w:t>
      </w:r>
      <w:r w:rsidRPr="003A14D4">
        <w:rPr>
          <w:rFonts w:ascii="Arial" w:eastAsia="宋体" w:hAnsi="Arial" w:cs="Arial"/>
          <w:color w:val="333333"/>
          <w:kern w:val="0"/>
          <w:szCs w:val="21"/>
        </w:rPr>
        <w:t>万元的罚款：（一）拒绝、阻碍信用评级行业主管部门、业务管理部门或者其派出机构检查、监管，或者</w:t>
      </w:r>
      <w:proofErr w:type="gramStart"/>
      <w:r w:rsidRPr="003A14D4">
        <w:rPr>
          <w:rFonts w:ascii="Arial" w:eastAsia="宋体" w:hAnsi="Arial" w:cs="Arial"/>
          <w:color w:val="333333"/>
          <w:kern w:val="0"/>
          <w:szCs w:val="21"/>
        </w:rPr>
        <w:t>不</w:t>
      </w:r>
      <w:proofErr w:type="gramEnd"/>
      <w:r w:rsidRPr="003A14D4">
        <w:rPr>
          <w:rFonts w:ascii="Arial" w:eastAsia="宋体" w:hAnsi="Arial" w:cs="Arial"/>
          <w:color w:val="333333"/>
          <w:kern w:val="0"/>
          <w:szCs w:val="21"/>
        </w:rPr>
        <w:t>如实提供文件、资料的；（二）未按规定向信用评级行业主管部门、业务管理部门或者其派出机构报送报告、资料的；（三）违反本办法其他规定的。</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第六十条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信用评级从业人员违反本办法规定，有下列行为之一的，由信用评级行业主管部门、业务管理部门或者其派出机构给予警告，并处违规收入</w:t>
      </w:r>
      <w:r w:rsidRPr="003A14D4">
        <w:rPr>
          <w:rFonts w:ascii="Arial" w:eastAsia="宋体" w:hAnsi="Arial" w:cs="Arial"/>
          <w:color w:val="333333"/>
          <w:kern w:val="0"/>
          <w:szCs w:val="21"/>
        </w:rPr>
        <w:t>50%</w:t>
      </w:r>
      <w:r w:rsidRPr="003A14D4">
        <w:rPr>
          <w:rFonts w:ascii="Arial" w:eastAsia="宋体" w:hAnsi="Arial" w:cs="Arial"/>
          <w:color w:val="333333"/>
          <w:kern w:val="0"/>
          <w:szCs w:val="21"/>
        </w:rPr>
        <w:t>的罚款，没有违规收入或者违规收入无法计算的，处</w:t>
      </w:r>
      <w:r w:rsidRPr="003A14D4">
        <w:rPr>
          <w:rFonts w:ascii="Arial" w:eastAsia="宋体" w:hAnsi="Arial" w:cs="Arial"/>
          <w:color w:val="333333"/>
          <w:kern w:val="0"/>
          <w:szCs w:val="21"/>
        </w:rPr>
        <w:t>50</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200</w:t>
      </w:r>
      <w:r w:rsidRPr="003A14D4">
        <w:rPr>
          <w:rFonts w:ascii="Arial" w:eastAsia="宋体" w:hAnsi="Arial" w:cs="Arial"/>
          <w:color w:val="333333"/>
          <w:kern w:val="0"/>
          <w:szCs w:val="21"/>
        </w:rPr>
        <w:t>万元以下的罚款；情节严重的，并处违规收入</w:t>
      </w:r>
      <w:r w:rsidRPr="003A14D4">
        <w:rPr>
          <w:rFonts w:ascii="Arial" w:eastAsia="宋体" w:hAnsi="Arial" w:cs="Arial"/>
          <w:color w:val="333333"/>
          <w:kern w:val="0"/>
          <w:szCs w:val="21"/>
        </w:rPr>
        <w:t>1</w:t>
      </w:r>
      <w:r w:rsidRPr="003A14D4">
        <w:rPr>
          <w:rFonts w:ascii="Arial" w:eastAsia="宋体" w:hAnsi="Arial" w:cs="Arial"/>
          <w:color w:val="333333"/>
          <w:kern w:val="0"/>
          <w:szCs w:val="21"/>
        </w:rPr>
        <w:t>倍以上</w:t>
      </w:r>
      <w:r w:rsidRPr="003A14D4">
        <w:rPr>
          <w:rFonts w:ascii="Arial" w:eastAsia="宋体" w:hAnsi="Arial" w:cs="Arial"/>
          <w:color w:val="333333"/>
          <w:kern w:val="0"/>
          <w:szCs w:val="21"/>
        </w:rPr>
        <w:t>3</w:t>
      </w:r>
      <w:r w:rsidRPr="003A14D4">
        <w:rPr>
          <w:rFonts w:ascii="Arial" w:eastAsia="宋体" w:hAnsi="Arial" w:cs="Arial"/>
          <w:color w:val="333333"/>
          <w:kern w:val="0"/>
          <w:szCs w:val="21"/>
        </w:rPr>
        <w:t>倍以下的罚款，没有违规收入或者违规收入无法计算的，处</w:t>
      </w:r>
      <w:r w:rsidRPr="003A14D4">
        <w:rPr>
          <w:rFonts w:ascii="Arial" w:eastAsia="宋体" w:hAnsi="Arial" w:cs="Arial"/>
          <w:color w:val="333333"/>
          <w:kern w:val="0"/>
          <w:szCs w:val="21"/>
        </w:rPr>
        <w:t>200</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500</w:t>
      </w:r>
      <w:r w:rsidRPr="003A14D4">
        <w:rPr>
          <w:rFonts w:ascii="Arial" w:eastAsia="宋体" w:hAnsi="Arial" w:cs="Arial"/>
          <w:color w:val="333333"/>
          <w:kern w:val="0"/>
          <w:szCs w:val="21"/>
        </w:rPr>
        <w:t>万元以下的罚款；涉嫌犯罪的，移送司法机关依法追究刑事责任：（一）从事与信用评级业务有利益冲突的兼职行为的；（二）以礼金、回扣等方式输送或者接受不正当利益的；（三）接受受评经济主体、受评债务融资工具发行人等相关主体的礼物或者现金馈赠，参与受评经济主体、受评债务融资工具发行人等相关主体组织的可能影响评级结果独立、客观、公正的活动的；（四）违反本办法第三十五条相关规定的；（五）离职并受聘于曾参与评级的受评经济主体、受评债务融资工具发行人、信用评级委托方或者主承销商，未通知信用评级机构的。</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第六十一条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信用评级机构由于故意或者重大过失，对投资人、评级委托人或者评级对象利益造成严重损害的，由信用评级行业主管部门、业务管理部门或者其派出机构给予警告，并</w:t>
      </w:r>
      <w:proofErr w:type="gramStart"/>
      <w:r w:rsidRPr="003A14D4">
        <w:rPr>
          <w:rFonts w:ascii="Arial" w:eastAsia="宋体" w:hAnsi="Arial" w:cs="Arial"/>
          <w:color w:val="333333"/>
          <w:kern w:val="0"/>
          <w:szCs w:val="21"/>
        </w:rPr>
        <w:t>处相关</w:t>
      </w:r>
      <w:proofErr w:type="gramEnd"/>
      <w:r w:rsidRPr="003A14D4">
        <w:rPr>
          <w:rFonts w:ascii="Arial" w:eastAsia="宋体" w:hAnsi="Arial" w:cs="Arial"/>
          <w:color w:val="333333"/>
          <w:kern w:val="0"/>
          <w:szCs w:val="21"/>
        </w:rPr>
        <w:t>评级业务收入</w:t>
      </w:r>
      <w:r w:rsidRPr="003A14D4">
        <w:rPr>
          <w:rFonts w:ascii="Arial" w:eastAsia="宋体" w:hAnsi="Arial" w:cs="Arial"/>
          <w:color w:val="333333"/>
          <w:kern w:val="0"/>
          <w:szCs w:val="21"/>
        </w:rPr>
        <w:t>1</w:t>
      </w:r>
      <w:r w:rsidRPr="003A14D4">
        <w:rPr>
          <w:rFonts w:ascii="Arial" w:eastAsia="宋体" w:hAnsi="Arial" w:cs="Arial"/>
          <w:color w:val="333333"/>
          <w:kern w:val="0"/>
          <w:szCs w:val="21"/>
        </w:rPr>
        <w:t>倍以上</w:t>
      </w:r>
      <w:r w:rsidRPr="003A14D4">
        <w:rPr>
          <w:rFonts w:ascii="Arial" w:eastAsia="宋体" w:hAnsi="Arial" w:cs="Arial"/>
          <w:color w:val="333333"/>
          <w:kern w:val="0"/>
          <w:szCs w:val="21"/>
        </w:rPr>
        <w:t>3</w:t>
      </w:r>
      <w:r w:rsidRPr="003A14D4">
        <w:rPr>
          <w:rFonts w:ascii="Arial" w:eastAsia="宋体" w:hAnsi="Arial" w:cs="Arial"/>
          <w:color w:val="333333"/>
          <w:kern w:val="0"/>
          <w:szCs w:val="21"/>
        </w:rPr>
        <w:t>倍以下的罚款，没有评级业务收入或者评级业务收入无法计算的，处</w:t>
      </w:r>
      <w:r w:rsidRPr="003A14D4">
        <w:rPr>
          <w:rFonts w:ascii="Arial" w:eastAsia="宋体" w:hAnsi="Arial" w:cs="Arial"/>
          <w:color w:val="333333"/>
          <w:kern w:val="0"/>
          <w:szCs w:val="21"/>
        </w:rPr>
        <w:t>200</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500</w:t>
      </w:r>
      <w:r w:rsidRPr="003A14D4">
        <w:rPr>
          <w:rFonts w:ascii="Arial" w:eastAsia="宋体" w:hAnsi="Arial" w:cs="Arial"/>
          <w:color w:val="333333"/>
          <w:kern w:val="0"/>
          <w:szCs w:val="21"/>
        </w:rPr>
        <w:t>万元以下的罚款；对直接责任人员给予警告，并处</w:t>
      </w:r>
      <w:r w:rsidRPr="003A14D4">
        <w:rPr>
          <w:rFonts w:ascii="Arial" w:eastAsia="宋体" w:hAnsi="Arial" w:cs="Arial"/>
          <w:color w:val="333333"/>
          <w:kern w:val="0"/>
          <w:szCs w:val="21"/>
        </w:rPr>
        <w:t>3</w:t>
      </w:r>
      <w:r w:rsidRPr="003A14D4">
        <w:rPr>
          <w:rFonts w:ascii="Arial" w:eastAsia="宋体" w:hAnsi="Arial" w:cs="Arial"/>
          <w:color w:val="333333"/>
          <w:kern w:val="0"/>
          <w:szCs w:val="21"/>
        </w:rPr>
        <w:t>万元以上</w:t>
      </w:r>
      <w:r w:rsidRPr="003A14D4">
        <w:rPr>
          <w:rFonts w:ascii="Arial" w:eastAsia="宋体" w:hAnsi="Arial" w:cs="Arial"/>
          <w:color w:val="333333"/>
          <w:kern w:val="0"/>
          <w:szCs w:val="21"/>
        </w:rPr>
        <w:t>10</w:t>
      </w:r>
      <w:r w:rsidRPr="003A14D4">
        <w:rPr>
          <w:rFonts w:ascii="Arial" w:eastAsia="宋体" w:hAnsi="Arial" w:cs="Arial"/>
          <w:color w:val="333333"/>
          <w:kern w:val="0"/>
          <w:szCs w:val="21"/>
        </w:rPr>
        <w:t>万元以下的罚款。</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第六十二条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行业主管部门、业务管理部门依据本办法相关规定，建立信用评价机制，定期对信用评级机构及信用评级从业人员的违法失信行为等开展信用评价，并将信用评价结果纳入信用评级机构信用档案。对信用评价较低的信用评级机构，可以采取向市场公开通报等惩戒措施。信用评级行业主管部门会同业务管理部门健全守信联合激励和失信联合惩戒机制。建立信用评级机构及信用评级从业人员</w:t>
      </w:r>
      <w:r w:rsidRPr="003A14D4">
        <w:rPr>
          <w:rFonts w:ascii="Arial" w:eastAsia="宋体" w:hAnsi="Arial" w:cs="Arial"/>
          <w:color w:val="333333"/>
          <w:kern w:val="0"/>
          <w:szCs w:val="21"/>
        </w:rPr>
        <w:t>“</w:t>
      </w:r>
      <w:r w:rsidRPr="003A14D4">
        <w:rPr>
          <w:rFonts w:ascii="Arial" w:eastAsia="宋体" w:hAnsi="Arial" w:cs="Arial"/>
          <w:color w:val="333333"/>
          <w:kern w:val="0"/>
          <w:szCs w:val="21"/>
        </w:rPr>
        <w:t>失信联合惩戒对象名单</w:t>
      </w:r>
      <w:r w:rsidRPr="003A14D4">
        <w:rPr>
          <w:rFonts w:ascii="Arial" w:eastAsia="宋体" w:hAnsi="Arial" w:cs="Arial"/>
          <w:color w:val="333333"/>
          <w:kern w:val="0"/>
          <w:szCs w:val="21"/>
        </w:rPr>
        <w:t>”</w:t>
      </w:r>
      <w:r w:rsidRPr="003A14D4">
        <w:rPr>
          <w:rFonts w:ascii="Arial" w:eastAsia="宋体" w:hAnsi="Arial" w:cs="Arial"/>
          <w:color w:val="333333"/>
          <w:kern w:val="0"/>
          <w:szCs w:val="21"/>
        </w:rPr>
        <w:t>管理制度，根</w:t>
      </w:r>
      <w:r w:rsidRPr="003A14D4">
        <w:rPr>
          <w:rFonts w:ascii="Arial" w:eastAsia="宋体" w:hAnsi="Arial" w:cs="Arial"/>
          <w:color w:val="333333"/>
          <w:kern w:val="0"/>
          <w:szCs w:val="21"/>
        </w:rPr>
        <w:lastRenderedPageBreak/>
        <w:t>据失信严重程度采取不同惩戒措施</w:t>
      </w:r>
      <w:r w:rsidRPr="003A14D4">
        <w:rPr>
          <w:rFonts w:ascii="Arial" w:eastAsia="宋体" w:hAnsi="Arial" w:cs="Arial"/>
          <w:color w:val="333333"/>
          <w:kern w:val="0"/>
          <w:szCs w:val="21"/>
        </w:rPr>
        <w:t>;</w:t>
      </w:r>
      <w:r w:rsidRPr="003A14D4">
        <w:rPr>
          <w:rFonts w:ascii="Arial" w:eastAsia="宋体" w:hAnsi="Arial" w:cs="Arial"/>
          <w:color w:val="333333"/>
          <w:kern w:val="0"/>
          <w:szCs w:val="21"/>
        </w:rPr>
        <w:t>对失信较严重的信用评级机构及信用评级从业人员，纳入</w:t>
      </w:r>
      <w:r w:rsidRPr="003A14D4">
        <w:rPr>
          <w:rFonts w:ascii="Arial" w:eastAsia="宋体" w:hAnsi="Arial" w:cs="Arial"/>
          <w:color w:val="333333"/>
          <w:kern w:val="0"/>
          <w:szCs w:val="21"/>
        </w:rPr>
        <w:t>“</w:t>
      </w:r>
      <w:r w:rsidRPr="003A14D4">
        <w:rPr>
          <w:rFonts w:ascii="Arial" w:eastAsia="宋体" w:hAnsi="Arial" w:cs="Arial"/>
          <w:color w:val="333333"/>
          <w:kern w:val="0"/>
          <w:szCs w:val="21"/>
        </w:rPr>
        <w:t>失信联合惩戒对象名单</w:t>
      </w:r>
      <w:r w:rsidRPr="003A14D4">
        <w:rPr>
          <w:rFonts w:ascii="Arial" w:eastAsia="宋体" w:hAnsi="Arial" w:cs="Arial"/>
          <w:color w:val="333333"/>
          <w:kern w:val="0"/>
          <w:szCs w:val="21"/>
        </w:rPr>
        <w:t>”</w:t>
      </w:r>
      <w:r w:rsidRPr="003A14D4">
        <w:rPr>
          <w:rFonts w:ascii="Arial" w:eastAsia="宋体" w:hAnsi="Arial" w:cs="Arial"/>
          <w:color w:val="333333"/>
          <w:kern w:val="0"/>
          <w:szCs w:val="21"/>
        </w:rPr>
        <w:t>管理范畴，列为市场不信任信用评级机构及失信信用评级从业人员，发起多部门联合惩戒与约束，情节严重的依法依规实施暂停业务或市场禁入措施。</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第六十三条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信用评级机构违反本办法有关规定，受到行政处罚的，信用评级行业主管部门、业务管理部门依法通过</w:t>
      </w:r>
      <w:r w:rsidRPr="003A14D4">
        <w:rPr>
          <w:rFonts w:ascii="Arial" w:eastAsia="宋体" w:hAnsi="Arial" w:cs="Arial"/>
          <w:color w:val="333333"/>
          <w:kern w:val="0"/>
          <w:szCs w:val="21"/>
        </w:rPr>
        <w:t>“</w:t>
      </w:r>
      <w:r w:rsidRPr="003A14D4">
        <w:rPr>
          <w:rFonts w:ascii="Arial" w:eastAsia="宋体" w:hAnsi="Arial" w:cs="Arial"/>
          <w:color w:val="333333"/>
          <w:kern w:val="0"/>
          <w:szCs w:val="21"/>
        </w:rPr>
        <w:t>信用中国</w:t>
      </w:r>
      <w:r w:rsidRPr="003A14D4">
        <w:rPr>
          <w:rFonts w:ascii="Arial" w:eastAsia="宋体" w:hAnsi="Arial" w:cs="Arial"/>
          <w:color w:val="333333"/>
          <w:kern w:val="0"/>
          <w:szCs w:val="21"/>
        </w:rPr>
        <w:t>”</w:t>
      </w:r>
      <w:r w:rsidRPr="003A14D4">
        <w:rPr>
          <w:rFonts w:ascii="Arial" w:eastAsia="宋体" w:hAnsi="Arial" w:cs="Arial"/>
          <w:color w:val="333333"/>
          <w:kern w:val="0"/>
          <w:szCs w:val="21"/>
        </w:rPr>
        <w:t>网站等渠道向社会公布。</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b/>
          <w:bCs/>
          <w:color w:val="333333"/>
          <w:kern w:val="0"/>
          <w:szCs w:val="21"/>
        </w:rPr>
        <w:t>第九章</w:t>
      </w:r>
      <w:r w:rsidRPr="003A14D4">
        <w:rPr>
          <w:rFonts w:ascii="Arial" w:eastAsia="宋体" w:hAnsi="Arial" w:cs="Arial"/>
          <w:b/>
          <w:bCs/>
          <w:color w:val="333333"/>
          <w:kern w:val="0"/>
          <w:szCs w:val="21"/>
        </w:rPr>
        <w:t xml:space="preserve"> </w:t>
      </w:r>
      <w:r w:rsidRPr="003A14D4">
        <w:rPr>
          <w:rFonts w:ascii="Arial" w:eastAsia="宋体" w:hAnsi="Arial" w:cs="Arial"/>
          <w:b/>
          <w:bCs/>
          <w:color w:val="333333"/>
          <w:kern w:val="0"/>
          <w:szCs w:val="21"/>
        </w:rPr>
        <w:t>附</w:t>
      </w:r>
      <w:r w:rsidRPr="003A14D4">
        <w:rPr>
          <w:rFonts w:ascii="Arial" w:eastAsia="宋体" w:hAnsi="Arial" w:cs="Arial"/>
          <w:b/>
          <w:bCs/>
          <w:color w:val="333333"/>
          <w:kern w:val="0"/>
          <w:szCs w:val="21"/>
        </w:rPr>
        <w:t xml:space="preserve"> </w:t>
      </w:r>
      <w:r w:rsidRPr="003A14D4">
        <w:rPr>
          <w:rFonts w:ascii="Arial" w:eastAsia="宋体" w:hAnsi="Arial" w:cs="Arial"/>
          <w:b/>
          <w:bCs/>
          <w:color w:val="333333"/>
          <w:kern w:val="0"/>
          <w:szCs w:val="21"/>
        </w:rPr>
        <w:t>则</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第六十四条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信用评级机构自律组织依法开展行业自律管理，接受信用评级行业主管部门和业务管理部门的监督指导。</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第六十五条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本办法实施前已经开展信用评级业务的机构，应当自本办法实施之日起六个月内，依照本办法规定向备案机构办理备案。</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第六十六条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非信用评级机构为了自身业务开展的内部信用评级结果不得对外提供。</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第六十七条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主动评级是指信用评级机构未经委托，主要通过公开渠道收集评级对象相关资料，并以此为依据对相关经济主体或者债务融资工具开展的信用评级。信用评级机构开展主动评级的，不适用本办法第十九条、第二十五条、第二十六条、第二十七条、第二十八条的规定。</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第六十八条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依照评级协议，评级结果不公开的，信用评级机构在开展相关业务时，不适用本办法第二十六条、第二十七条、第二十八条的规定。</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第六十九条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境外信用评级机构申请中华人民共和国境内有关信用评级业务资质的，依照信用评级行业主管部门和业务管理部门的相关规定执行。</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第七十条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本办法所称受益所有人，是指最终拥有或控制信用评级机构的自然人，包括直接或间接拥有超过</w:t>
      </w:r>
      <w:r w:rsidRPr="003A14D4">
        <w:rPr>
          <w:rFonts w:ascii="Arial" w:eastAsia="宋体" w:hAnsi="Arial" w:cs="Arial"/>
          <w:color w:val="333333"/>
          <w:kern w:val="0"/>
          <w:szCs w:val="21"/>
        </w:rPr>
        <w:t>25%</w:t>
      </w:r>
      <w:r w:rsidRPr="003A14D4">
        <w:rPr>
          <w:rFonts w:ascii="Arial" w:eastAsia="宋体" w:hAnsi="Arial" w:cs="Arial"/>
          <w:color w:val="333333"/>
          <w:kern w:val="0"/>
          <w:szCs w:val="21"/>
        </w:rPr>
        <w:t>公司股权或者表决权，或者以其他形式可以对公司的决策、经营、管理形成有效控制或者实际影响的自然人。</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第七十一条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本办法由信用评级行业主管部门会同业务管理部门解释。</w:t>
      </w:r>
    </w:p>
    <w:p w:rsidR="003A14D4" w:rsidRPr="003A14D4" w:rsidRDefault="003A14D4" w:rsidP="003A14D4">
      <w:pPr>
        <w:widowControl/>
        <w:shd w:val="clear" w:color="auto" w:fill="FFFFFF"/>
        <w:spacing w:line="360" w:lineRule="atLeast"/>
        <w:ind w:firstLine="480"/>
        <w:jc w:val="left"/>
        <w:rPr>
          <w:rFonts w:ascii="Arial" w:eastAsia="宋体" w:hAnsi="Arial" w:cs="Arial"/>
          <w:color w:val="333333"/>
          <w:kern w:val="0"/>
          <w:szCs w:val="21"/>
        </w:rPr>
      </w:pPr>
      <w:r w:rsidRPr="003A14D4">
        <w:rPr>
          <w:rFonts w:ascii="Arial" w:eastAsia="宋体" w:hAnsi="Arial" w:cs="Arial"/>
          <w:color w:val="333333"/>
          <w:kern w:val="0"/>
          <w:szCs w:val="21"/>
        </w:rPr>
        <w:t>第七十二条</w:t>
      </w:r>
      <w:r w:rsidRPr="003A14D4">
        <w:rPr>
          <w:rFonts w:ascii="Arial" w:eastAsia="宋体" w:hAnsi="Arial" w:cs="Arial"/>
          <w:color w:val="333333"/>
          <w:kern w:val="0"/>
          <w:szCs w:val="21"/>
        </w:rPr>
        <w:t xml:space="preserve"> </w:t>
      </w:r>
      <w:r w:rsidRPr="003A14D4">
        <w:rPr>
          <w:rFonts w:ascii="Arial" w:eastAsia="宋体" w:hAnsi="Arial" w:cs="Arial"/>
          <w:color w:val="333333"/>
          <w:kern w:val="0"/>
          <w:szCs w:val="21"/>
        </w:rPr>
        <w:t>本办法自</w:t>
      </w:r>
      <w:r w:rsidRPr="003A14D4">
        <w:rPr>
          <w:rFonts w:ascii="Arial" w:eastAsia="宋体" w:hAnsi="Arial" w:cs="Arial"/>
          <w:color w:val="333333"/>
          <w:kern w:val="0"/>
          <w:szCs w:val="21"/>
        </w:rPr>
        <w:t>2019</w:t>
      </w:r>
      <w:r w:rsidRPr="003A14D4">
        <w:rPr>
          <w:rFonts w:ascii="Arial" w:eastAsia="宋体" w:hAnsi="Arial" w:cs="Arial"/>
          <w:color w:val="333333"/>
          <w:kern w:val="0"/>
          <w:szCs w:val="21"/>
        </w:rPr>
        <w:t>年</w:t>
      </w:r>
      <w:r w:rsidRPr="003A14D4">
        <w:rPr>
          <w:rFonts w:ascii="Arial" w:eastAsia="宋体" w:hAnsi="Arial" w:cs="Arial"/>
          <w:color w:val="333333"/>
          <w:kern w:val="0"/>
          <w:szCs w:val="21"/>
        </w:rPr>
        <w:t>12</w:t>
      </w:r>
      <w:r w:rsidRPr="003A14D4">
        <w:rPr>
          <w:rFonts w:ascii="Arial" w:eastAsia="宋体" w:hAnsi="Arial" w:cs="Arial"/>
          <w:color w:val="333333"/>
          <w:kern w:val="0"/>
          <w:szCs w:val="21"/>
        </w:rPr>
        <w:t>月</w:t>
      </w:r>
      <w:r w:rsidRPr="003A14D4">
        <w:rPr>
          <w:rFonts w:ascii="Arial" w:eastAsia="宋体" w:hAnsi="Arial" w:cs="Arial"/>
          <w:color w:val="333333"/>
          <w:kern w:val="0"/>
          <w:szCs w:val="21"/>
        </w:rPr>
        <w:t>26</w:t>
      </w:r>
      <w:r w:rsidRPr="003A14D4">
        <w:rPr>
          <w:rFonts w:ascii="Arial" w:eastAsia="宋体" w:hAnsi="Arial" w:cs="Arial"/>
          <w:color w:val="333333"/>
          <w:kern w:val="0"/>
          <w:szCs w:val="21"/>
        </w:rPr>
        <w:t>日起施行。</w:t>
      </w:r>
    </w:p>
    <w:p w:rsidR="00F37D8C" w:rsidRPr="003A14D4" w:rsidRDefault="00F37D8C"/>
    <w:sectPr w:rsidR="00F37D8C" w:rsidRPr="003A14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D4"/>
    <w:rsid w:val="003A14D4"/>
    <w:rsid w:val="00F37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02811">
      <w:bodyDiv w:val="1"/>
      <w:marLeft w:val="0"/>
      <w:marRight w:val="0"/>
      <w:marTop w:val="0"/>
      <w:marBottom w:val="0"/>
      <w:divBdr>
        <w:top w:val="none" w:sz="0" w:space="0" w:color="auto"/>
        <w:left w:val="none" w:sz="0" w:space="0" w:color="auto"/>
        <w:bottom w:val="none" w:sz="0" w:space="0" w:color="auto"/>
        <w:right w:val="none" w:sz="0" w:space="0" w:color="auto"/>
      </w:divBdr>
      <w:divsChild>
        <w:div w:id="1694460290">
          <w:marLeft w:val="0"/>
          <w:marRight w:val="0"/>
          <w:marTop w:val="0"/>
          <w:marBottom w:val="225"/>
          <w:divBdr>
            <w:top w:val="none" w:sz="0" w:space="0" w:color="auto"/>
            <w:left w:val="none" w:sz="0" w:space="0" w:color="auto"/>
            <w:bottom w:val="none" w:sz="0" w:space="0" w:color="auto"/>
            <w:right w:val="none" w:sz="0" w:space="0" w:color="auto"/>
          </w:divBdr>
        </w:div>
        <w:div w:id="1327175632">
          <w:marLeft w:val="0"/>
          <w:marRight w:val="0"/>
          <w:marTop w:val="0"/>
          <w:marBottom w:val="225"/>
          <w:divBdr>
            <w:top w:val="none" w:sz="0" w:space="0" w:color="auto"/>
            <w:left w:val="none" w:sz="0" w:space="0" w:color="auto"/>
            <w:bottom w:val="none" w:sz="0" w:space="0" w:color="auto"/>
            <w:right w:val="none" w:sz="0" w:space="0" w:color="auto"/>
          </w:divBdr>
        </w:div>
        <w:div w:id="192812692">
          <w:marLeft w:val="0"/>
          <w:marRight w:val="0"/>
          <w:marTop w:val="0"/>
          <w:marBottom w:val="225"/>
          <w:divBdr>
            <w:top w:val="none" w:sz="0" w:space="0" w:color="auto"/>
            <w:left w:val="none" w:sz="0" w:space="0" w:color="auto"/>
            <w:bottom w:val="none" w:sz="0" w:space="0" w:color="auto"/>
            <w:right w:val="none" w:sz="0" w:space="0" w:color="auto"/>
          </w:divBdr>
        </w:div>
        <w:div w:id="686562613">
          <w:marLeft w:val="0"/>
          <w:marRight w:val="0"/>
          <w:marTop w:val="0"/>
          <w:marBottom w:val="225"/>
          <w:divBdr>
            <w:top w:val="none" w:sz="0" w:space="0" w:color="auto"/>
            <w:left w:val="none" w:sz="0" w:space="0" w:color="auto"/>
            <w:bottom w:val="none" w:sz="0" w:space="0" w:color="auto"/>
            <w:right w:val="none" w:sz="0" w:space="0" w:color="auto"/>
          </w:divBdr>
        </w:div>
        <w:div w:id="116920700">
          <w:marLeft w:val="0"/>
          <w:marRight w:val="0"/>
          <w:marTop w:val="0"/>
          <w:marBottom w:val="225"/>
          <w:divBdr>
            <w:top w:val="none" w:sz="0" w:space="0" w:color="auto"/>
            <w:left w:val="none" w:sz="0" w:space="0" w:color="auto"/>
            <w:bottom w:val="none" w:sz="0" w:space="0" w:color="auto"/>
            <w:right w:val="none" w:sz="0" w:space="0" w:color="auto"/>
          </w:divBdr>
        </w:div>
        <w:div w:id="1337074285">
          <w:marLeft w:val="0"/>
          <w:marRight w:val="0"/>
          <w:marTop w:val="0"/>
          <w:marBottom w:val="225"/>
          <w:divBdr>
            <w:top w:val="none" w:sz="0" w:space="0" w:color="auto"/>
            <w:left w:val="none" w:sz="0" w:space="0" w:color="auto"/>
            <w:bottom w:val="none" w:sz="0" w:space="0" w:color="auto"/>
            <w:right w:val="none" w:sz="0" w:space="0" w:color="auto"/>
          </w:divBdr>
        </w:div>
        <w:div w:id="908878321">
          <w:marLeft w:val="0"/>
          <w:marRight w:val="0"/>
          <w:marTop w:val="0"/>
          <w:marBottom w:val="225"/>
          <w:divBdr>
            <w:top w:val="none" w:sz="0" w:space="0" w:color="auto"/>
            <w:left w:val="none" w:sz="0" w:space="0" w:color="auto"/>
            <w:bottom w:val="none" w:sz="0" w:space="0" w:color="auto"/>
            <w:right w:val="none" w:sz="0" w:space="0" w:color="auto"/>
          </w:divBdr>
        </w:div>
        <w:div w:id="1985622779">
          <w:marLeft w:val="0"/>
          <w:marRight w:val="0"/>
          <w:marTop w:val="0"/>
          <w:marBottom w:val="225"/>
          <w:divBdr>
            <w:top w:val="none" w:sz="0" w:space="0" w:color="auto"/>
            <w:left w:val="none" w:sz="0" w:space="0" w:color="auto"/>
            <w:bottom w:val="none" w:sz="0" w:space="0" w:color="auto"/>
            <w:right w:val="none" w:sz="0" w:space="0" w:color="auto"/>
          </w:divBdr>
        </w:div>
        <w:div w:id="1465810195">
          <w:marLeft w:val="0"/>
          <w:marRight w:val="0"/>
          <w:marTop w:val="0"/>
          <w:marBottom w:val="225"/>
          <w:divBdr>
            <w:top w:val="none" w:sz="0" w:space="0" w:color="auto"/>
            <w:left w:val="none" w:sz="0" w:space="0" w:color="auto"/>
            <w:bottom w:val="none" w:sz="0" w:space="0" w:color="auto"/>
            <w:right w:val="none" w:sz="0" w:space="0" w:color="auto"/>
          </w:divBdr>
        </w:div>
        <w:div w:id="1644967269">
          <w:marLeft w:val="0"/>
          <w:marRight w:val="0"/>
          <w:marTop w:val="0"/>
          <w:marBottom w:val="225"/>
          <w:divBdr>
            <w:top w:val="none" w:sz="0" w:space="0" w:color="auto"/>
            <w:left w:val="none" w:sz="0" w:space="0" w:color="auto"/>
            <w:bottom w:val="none" w:sz="0" w:space="0" w:color="auto"/>
            <w:right w:val="none" w:sz="0" w:space="0" w:color="auto"/>
          </w:divBdr>
        </w:div>
        <w:div w:id="188957007">
          <w:marLeft w:val="0"/>
          <w:marRight w:val="0"/>
          <w:marTop w:val="0"/>
          <w:marBottom w:val="225"/>
          <w:divBdr>
            <w:top w:val="none" w:sz="0" w:space="0" w:color="auto"/>
            <w:left w:val="none" w:sz="0" w:space="0" w:color="auto"/>
            <w:bottom w:val="none" w:sz="0" w:space="0" w:color="auto"/>
            <w:right w:val="none" w:sz="0" w:space="0" w:color="auto"/>
          </w:divBdr>
        </w:div>
        <w:div w:id="486745998">
          <w:marLeft w:val="0"/>
          <w:marRight w:val="0"/>
          <w:marTop w:val="0"/>
          <w:marBottom w:val="225"/>
          <w:divBdr>
            <w:top w:val="none" w:sz="0" w:space="0" w:color="auto"/>
            <w:left w:val="none" w:sz="0" w:space="0" w:color="auto"/>
            <w:bottom w:val="none" w:sz="0" w:space="0" w:color="auto"/>
            <w:right w:val="none" w:sz="0" w:space="0" w:color="auto"/>
          </w:divBdr>
        </w:div>
        <w:div w:id="158279079">
          <w:marLeft w:val="0"/>
          <w:marRight w:val="0"/>
          <w:marTop w:val="0"/>
          <w:marBottom w:val="225"/>
          <w:divBdr>
            <w:top w:val="none" w:sz="0" w:space="0" w:color="auto"/>
            <w:left w:val="none" w:sz="0" w:space="0" w:color="auto"/>
            <w:bottom w:val="none" w:sz="0" w:space="0" w:color="auto"/>
            <w:right w:val="none" w:sz="0" w:space="0" w:color="auto"/>
          </w:divBdr>
        </w:div>
        <w:div w:id="38435540">
          <w:marLeft w:val="0"/>
          <w:marRight w:val="0"/>
          <w:marTop w:val="0"/>
          <w:marBottom w:val="225"/>
          <w:divBdr>
            <w:top w:val="none" w:sz="0" w:space="0" w:color="auto"/>
            <w:left w:val="none" w:sz="0" w:space="0" w:color="auto"/>
            <w:bottom w:val="none" w:sz="0" w:space="0" w:color="auto"/>
            <w:right w:val="none" w:sz="0" w:space="0" w:color="auto"/>
          </w:divBdr>
        </w:div>
        <w:div w:id="1228682465">
          <w:marLeft w:val="0"/>
          <w:marRight w:val="0"/>
          <w:marTop w:val="0"/>
          <w:marBottom w:val="225"/>
          <w:divBdr>
            <w:top w:val="none" w:sz="0" w:space="0" w:color="auto"/>
            <w:left w:val="none" w:sz="0" w:space="0" w:color="auto"/>
            <w:bottom w:val="none" w:sz="0" w:space="0" w:color="auto"/>
            <w:right w:val="none" w:sz="0" w:space="0" w:color="auto"/>
          </w:divBdr>
        </w:div>
        <w:div w:id="702361753">
          <w:marLeft w:val="0"/>
          <w:marRight w:val="0"/>
          <w:marTop w:val="0"/>
          <w:marBottom w:val="225"/>
          <w:divBdr>
            <w:top w:val="none" w:sz="0" w:space="0" w:color="auto"/>
            <w:left w:val="none" w:sz="0" w:space="0" w:color="auto"/>
            <w:bottom w:val="none" w:sz="0" w:space="0" w:color="auto"/>
            <w:right w:val="none" w:sz="0" w:space="0" w:color="auto"/>
          </w:divBdr>
        </w:div>
        <w:div w:id="1692293391">
          <w:marLeft w:val="0"/>
          <w:marRight w:val="0"/>
          <w:marTop w:val="0"/>
          <w:marBottom w:val="225"/>
          <w:divBdr>
            <w:top w:val="none" w:sz="0" w:space="0" w:color="auto"/>
            <w:left w:val="none" w:sz="0" w:space="0" w:color="auto"/>
            <w:bottom w:val="none" w:sz="0" w:space="0" w:color="auto"/>
            <w:right w:val="none" w:sz="0" w:space="0" w:color="auto"/>
          </w:divBdr>
        </w:div>
        <w:div w:id="1178696993">
          <w:marLeft w:val="0"/>
          <w:marRight w:val="0"/>
          <w:marTop w:val="0"/>
          <w:marBottom w:val="225"/>
          <w:divBdr>
            <w:top w:val="none" w:sz="0" w:space="0" w:color="auto"/>
            <w:left w:val="none" w:sz="0" w:space="0" w:color="auto"/>
            <w:bottom w:val="none" w:sz="0" w:space="0" w:color="auto"/>
            <w:right w:val="none" w:sz="0" w:space="0" w:color="auto"/>
          </w:divBdr>
        </w:div>
        <w:div w:id="2054117072">
          <w:marLeft w:val="0"/>
          <w:marRight w:val="0"/>
          <w:marTop w:val="0"/>
          <w:marBottom w:val="225"/>
          <w:divBdr>
            <w:top w:val="none" w:sz="0" w:space="0" w:color="auto"/>
            <w:left w:val="none" w:sz="0" w:space="0" w:color="auto"/>
            <w:bottom w:val="none" w:sz="0" w:space="0" w:color="auto"/>
            <w:right w:val="none" w:sz="0" w:space="0" w:color="auto"/>
          </w:divBdr>
        </w:div>
        <w:div w:id="256987956">
          <w:marLeft w:val="0"/>
          <w:marRight w:val="0"/>
          <w:marTop w:val="0"/>
          <w:marBottom w:val="225"/>
          <w:divBdr>
            <w:top w:val="none" w:sz="0" w:space="0" w:color="auto"/>
            <w:left w:val="none" w:sz="0" w:space="0" w:color="auto"/>
            <w:bottom w:val="none" w:sz="0" w:space="0" w:color="auto"/>
            <w:right w:val="none" w:sz="0" w:space="0" w:color="auto"/>
          </w:divBdr>
        </w:div>
        <w:div w:id="293222470">
          <w:marLeft w:val="0"/>
          <w:marRight w:val="0"/>
          <w:marTop w:val="0"/>
          <w:marBottom w:val="225"/>
          <w:divBdr>
            <w:top w:val="none" w:sz="0" w:space="0" w:color="auto"/>
            <w:left w:val="none" w:sz="0" w:space="0" w:color="auto"/>
            <w:bottom w:val="none" w:sz="0" w:space="0" w:color="auto"/>
            <w:right w:val="none" w:sz="0" w:space="0" w:color="auto"/>
          </w:divBdr>
        </w:div>
        <w:div w:id="1846552807">
          <w:marLeft w:val="0"/>
          <w:marRight w:val="0"/>
          <w:marTop w:val="0"/>
          <w:marBottom w:val="225"/>
          <w:divBdr>
            <w:top w:val="none" w:sz="0" w:space="0" w:color="auto"/>
            <w:left w:val="none" w:sz="0" w:space="0" w:color="auto"/>
            <w:bottom w:val="none" w:sz="0" w:space="0" w:color="auto"/>
            <w:right w:val="none" w:sz="0" w:space="0" w:color="auto"/>
          </w:divBdr>
        </w:div>
        <w:div w:id="769933142">
          <w:marLeft w:val="0"/>
          <w:marRight w:val="0"/>
          <w:marTop w:val="0"/>
          <w:marBottom w:val="225"/>
          <w:divBdr>
            <w:top w:val="none" w:sz="0" w:space="0" w:color="auto"/>
            <w:left w:val="none" w:sz="0" w:space="0" w:color="auto"/>
            <w:bottom w:val="none" w:sz="0" w:space="0" w:color="auto"/>
            <w:right w:val="none" w:sz="0" w:space="0" w:color="auto"/>
          </w:divBdr>
        </w:div>
        <w:div w:id="1898473703">
          <w:marLeft w:val="0"/>
          <w:marRight w:val="0"/>
          <w:marTop w:val="0"/>
          <w:marBottom w:val="225"/>
          <w:divBdr>
            <w:top w:val="none" w:sz="0" w:space="0" w:color="auto"/>
            <w:left w:val="none" w:sz="0" w:space="0" w:color="auto"/>
            <w:bottom w:val="none" w:sz="0" w:space="0" w:color="auto"/>
            <w:right w:val="none" w:sz="0" w:space="0" w:color="auto"/>
          </w:divBdr>
        </w:div>
        <w:div w:id="410155775">
          <w:marLeft w:val="0"/>
          <w:marRight w:val="0"/>
          <w:marTop w:val="0"/>
          <w:marBottom w:val="225"/>
          <w:divBdr>
            <w:top w:val="none" w:sz="0" w:space="0" w:color="auto"/>
            <w:left w:val="none" w:sz="0" w:space="0" w:color="auto"/>
            <w:bottom w:val="none" w:sz="0" w:space="0" w:color="auto"/>
            <w:right w:val="none" w:sz="0" w:space="0" w:color="auto"/>
          </w:divBdr>
        </w:div>
        <w:div w:id="950865113">
          <w:marLeft w:val="0"/>
          <w:marRight w:val="0"/>
          <w:marTop w:val="0"/>
          <w:marBottom w:val="225"/>
          <w:divBdr>
            <w:top w:val="none" w:sz="0" w:space="0" w:color="auto"/>
            <w:left w:val="none" w:sz="0" w:space="0" w:color="auto"/>
            <w:bottom w:val="none" w:sz="0" w:space="0" w:color="auto"/>
            <w:right w:val="none" w:sz="0" w:space="0" w:color="auto"/>
          </w:divBdr>
        </w:div>
        <w:div w:id="1800342880">
          <w:marLeft w:val="0"/>
          <w:marRight w:val="0"/>
          <w:marTop w:val="0"/>
          <w:marBottom w:val="225"/>
          <w:divBdr>
            <w:top w:val="none" w:sz="0" w:space="0" w:color="auto"/>
            <w:left w:val="none" w:sz="0" w:space="0" w:color="auto"/>
            <w:bottom w:val="none" w:sz="0" w:space="0" w:color="auto"/>
            <w:right w:val="none" w:sz="0" w:space="0" w:color="auto"/>
          </w:divBdr>
        </w:div>
        <w:div w:id="379939508">
          <w:marLeft w:val="0"/>
          <w:marRight w:val="0"/>
          <w:marTop w:val="0"/>
          <w:marBottom w:val="225"/>
          <w:divBdr>
            <w:top w:val="none" w:sz="0" w:space="0" w:color="auto"/>
            <w:left w:val="none" w:sz="0" w:space="0" w:color="auto"/>
            <w:bottom w:val="none" w:sz="0" w:space="0" w:color="auto"/>
            <w:right w:val="none" w:sz="0" w:space="0" w:color="auto"/>
          </w:divBdr>
        </w:div>
        <w:div w:id="808517906">
          <w:marLeft w:val="0"/>
          <w:marRight w:val="0"/>
          <w:marTop w:val="0"/>
          <w:marBottom w:val="225"/>
          <w:divBdr>
            <w:top w:val="none" w:sz="0" w:space="0" w:color="auto"/>
            <w:left w:val="none" w:sz="0" w:space="0" w:color="auto"/>
            <w:bottom w:val="none" w:sz="0" w:space="0" w:color="auto"/>
            <w:right w:val="none" w:sz="0" w:space="0" w:color="auto"/>
          </w:divBdr>
        </w:div>
        <w:div w:id="548611677">
          <w:marLeft w:val="0"/>
          <w:marRight w:val="0"/>
          <w:marTop w:val="0"/>
          <w:marBottom w:val="225"/>
          <w:divBdr>
            <w:top w:val="none" w:sz="0" w:space="0" w:color="auto"/>
            <w:left w:val="none" w:sz="0" w:space="0" w:color="auto"/>
            <w:bottom w:val="none" w:sz="0" w:space="0" w:color="auto"/>
            <w:right w:val="none" w:sz="0" w:space="0" w:color="auto"/>
          </w:divBdr>
        </w:div>
        <w:div w:id="1323315494">
          <w:marLeft w:val="0"/>
          <w:marRight w:val="0"/>
          <w:marTop w:val="0"/>
          <w:marBottom w:val="225"/>
          <w:divBdr>
            <w:top w:val="none" w:sz="0" w:space="0" w:color="auto"/>
            <w:left w:val="none" w:sz="0" w:space="0" w:color="auto"/>
            <w:bottom w:val="none" w:sz="0" w:space="0" w:color="auto"/>
            <w:right w:val="none" w:sz="0" w:space="0" w:color="auto"/>
          </w:divBdr>
        </w:div>
        <w:div w:id="344522787">
          <w:marLeft w:val="0"/>
          <w:marRight w:val="0"/>
          <w:marTop w:val="0"/>
          <w:marBottom w:val="225"/>
          <w:divBdr>
            <w:top w:val="none" w:sz="0" w:space="0" w:color="auto"/>
            <w:left w:val="none" w:sz="0" w:space="0" w:color="auto"/>
            <w:bottom w:val="none" w:sz="0" w:space="0" w:color="auto"/>
            <w:right w:val="none" w:sz="0" w:space="0" w:color="auto"/>
          </w:divBdr>
        </w:div>
        <w:div w:id="881475550">
          <w:marLeft w:val="0"/>
          <w:marRight w:val="0"/>
          <w:marTop w:val="0"/>
          <w:marBottom w:val="225"/>
          <w:divBdr>
            <w:top w:val="none" w:sz="0" w:space="0" w:color="auto"/>
            <w:left w:val="none" w:sz="0" w:space="0" w:color="auto"/>
            <w:bottom w:val="none" w:sz="0" w:space="0" w:color="auto"/>
            <w:right w:val="none" w:sz="0" w:space="0" w:color="auto"/>
          </w:divBdr>
        </w:div>
        <w:div w:id="1123889810">
          <w:marLeft w:val="0"/>
          <w:marRight w:val="0"/>
          <w:marTop w:val="0"/>
          <w:marBottom w:val="225"/>
          <w:divBdr>
            <w:top w:val="none" w:sz="0" w:space="0" w:color="auto"/>
            <w:left w:val="none" w:sz="0" w:space="0" w:color="auto"/>
            <w:bottom w:val="none" w:sz="0" w:space="0" w:color="auto"/>
            <w:right w:val="none" w:sz="0" w:space="0" w:color="auto"/>
          </w:divBdr>
        </w:div>
        <w:div w:id="521404898">
          <w:marLeft w:val="0"/>
          <w:marRight w:val="0"/>
          <w:marTop w:val="0"/>
          <w:marBottom w:val="225"/>
          <w:divBdr>
            <w:top w:val="none" w:sz="0" w:space="0" w:color="auto"/>
            <w:left w:val="none" w:sz="0" w:space="0" w:color="auto"/>
            <w:bottom w:val="none" w:sz="0" w:space="0" w:color="auto"/>
            <w:right w:val="none" w:sz="0" w:space="0" w:color="auto"/>
          </w:divBdr>
        </w:div>
        <w:div w:id="885065204">
          <w:marLeft w:val="0"/>
          <w:marRight w:val="0"/>
          <w:marTop w:val="0"/>
          <w:marBottom w:val="225"/>
          <w:divBdr>
            <w:top w:val="none" w:sz="0" w:space="0" w:color="auto"/>
            <w:left w:val="none" w:sz="0" w:space="0" w:color="auto"/>
            <w:bottom w:val="none" w:sz="0" w:space="0" w:color="auto"/>
            <w:right w:val="none" w:sz="0" w:space="0" w:color="auto"/>
          </w:divBdr>
        </w:div>
        <w:div w:id="1717120431">
          <w:marLeft w:val="0"/>
          <w:marRight w:val="0"/>
          <w:marTop w:val="0"/>
          <w:marBottom w:val="225"/>
          <w:divBdr>
            <w:top w:val="none" w:sz="0" w:space="0" w:color="auto"/>
            <w:left w:val="none" w:sz="0" w:space="0" w:color="auto"/>
            <w:bottom w:val="none" w:sz="0" w:space="0" w:color="auto"/>
            <w:right w:val="none" w:sz="0" w:space="0" w:color="auto"/>
          </w:divBdr>
        </w:div>
        <w:div w:id="989363977">
          <w:marLeft w:val="0"/>
          <w:marRight w:val="0"/>
          <w:marTop w:val="0"/>
          <w:marBottom w:val="225"/>
          <w:divBdr>
            <w:top w:val="none" w:sz="0" w:space="0" w:color="auto"/>
            <w:left w:val="none" w:sz="0" w:space="0" w:color="auto"/>
            <w:bottom w:val="none" w:sz="0" w:space="0" w:color="auto"/>
            <w:right w:val="none" w:sz="0" w:space="0" w:color="auto"/>
          </w:divBdr>
        </w:div>
        <w:div w:id="837304711">
          <w:marLeft w:val="0"/>
          <w:marRight w:val="0"/>
          <w:marTop w:val="0"/>
          <w:marBottom w:val="225"/>
          <w:divBdr>
            <w:top w:val="none" w:sz="0" w:space="0" w:color="auto"/>
            <w:left w:val="none" w:sz="0" w:space="0" w:color="auto"/>
            <w:bottom w:val="none" w:sz="0" w:space="0" w:color="auto"/>
            <w:right w:val="none" w:sz="0" w:space="0" w:color="auto"/>
          </w:divBdr>
        </w:div>
        <w:div w:id="2033921514">
          <w:marLeft w:val="0"/>
          <w:marRight w:val="0"/>
          <w:marTop w:val="0"/>
          <w:marBottom w:val="225"/>
          <w:divBdr>
            <w:top w:val="none" w:sz="0" w:space="0" w:color="auto"/>
            <w:left w:val="none" w:sz="0" w:space="0" w:color="auto"/>
            <w:bottom w:val="none" w:sz="0" w:space="0" w:color="auto"/>
            <w:right w:val="none" w:sz="0" w:space="0" w:color="auto"/>
          </w:divBdr>
        </w:div>
        <w:div w:id="265356234">
          <w:marLeft w:val="0"/>
          <w:marRight w:val="0"/>
          <w:marTop w:val="0"/>
          <w:marBottom w:val="225"/>
          <w:divBdr>
            <w:top w:val="none" w:sz="0" w:space="0" w:color="auto"/>
            <w:left w:val="none" w:sz="0" w:space="0" w:color="auto"/>
            <w:bottom w:val="none" w:sz="0" w:space="0" w:color="auto"/>
            <w:right w:val="none" w:sz="0" w:space="0" w:color="auto"/>
          </w:divBdr>
        </w:div>
        <w:div w:id="1753115291">
          <w:marLeft w:val="0"/>
          <w:marRight w:val="0"/>
          <w:marTop w:val="0"/>
          <w:marBottom w:val="225"/>
          <w:divBdr>
            <w:top w:val="none" w:sz="0" w:space="0" w:color="auto"/>
            <w:left w:val="none" w:sz="0" w:space="0" w:color="auto"/>
            <w:bottom w:val="none" w:sz="0" w:space="0" w:color="auto"/>
            <w:right w:val="none" w:sz="0" w:space="0" w:color="auto"/>
          </w:divBdr>
        </w:div>
        <w:div w:id="1848592290">
          <w:marLeft w:val="0"/>
          <w:marRight w:val="0"/>
          <w:marTop w:val="0"/>
          <w:marBottom w:val="225"/>
          <w:divBdr>
            <w:top w:val="none" w:sz="0" w:space="0" w:color="auto"/>
            <w:left w:val="none" w:sz="0" w:space="0" w:color="auto"/>
            <w:bottom w:val="none" w:sz="0" w:space="0" w:color="auto"/>
            <w:right w:val="none" w:sz="0" w:space="0" w:color="auto"/>
          </w:divBdr>
        </w:div>
        <w:div w:id="859322610">
          <w:marLeft w:val="0"/>
          <w:marRight w:val="0"/>
          <w:marTop w:val="0"/>
          <w:marBottom w:val="225"/>
          <w:divBdr>
            <w:top w:val="none" w:sz="0" w:space="0" w:color="auto"/>
            <w:left w:val="none" w:sz="0" w:space="0" w:color="auto"/>
            <w:bottom w:val="none" w:sz="0" w:space="0" w:color="auto"/>
            <w:right w:val="none" w:sz="0" w:space="0" w:color="auto"/>
          </w:divBdr>
        </w:div>
        <w:div w:id="699552329">
          <w:marLeft w:val="0"/>
          <w:marRight w:val="0"/>
          <w:marTop w:val="0"/>
          <w:marBottom w:val="225"/>
          <w:divBdr>
            <w:top w:val="none" w:sz="0" w:space="0" w:color="auto"/>
            <w:left w:val="none" w:sz="0" w:space="0" w:color="auto"/>
            <w:bottom w:val="none" w:sz="0" w:space="0" w:color="auto"/>
            <w:right w:val="none" w:sz="0" w:space="0" w:color="auto"/>
          </w:divBdr>
        </w:div>
        <w:div w:id="1518350589">
          <w:marLeft w:val="0"/>
          <w:marRight w:val="0"/>
          <w:marTop w:val="0"/>
          <w:marBottom w:val="225"/>
          <w:divBdr>
            <w:top w:val="none" w:sz="0" w:space="0" w:color="auto"/>
            <w:left w:val="none" w:sz="0" w:space="0" w:color="auto"/>
            <w:bottom w:val="none" w:sz="0" w:space="0" w:color="auto"/>
            <w:right w:val="none" w:sz="0" w:space="0" w:color="auto"/>
          </w:divBdr>
        </w:div>
        <w:div w:id="1802966091">
          <w:marLeft w:val="0"/>
          <w:marRight w:val="0"/>
          <w:marTop w:val="0"/>
          <w:marBottom w:val="225"/>
          <w:divBdr>
            <w:top w:val="none" w:sz="0" w:space="0" w:color="auto"/>
            <w:left w:val="none" w:sz="0" w:space="0" w:color="auto"/>
            <w:bottom w:val="none" w:sz="0" w:space="0" w:color="auto"/>
            <w:right w:val="none" w:sz="0" w:space="0" w:color="auto"/>
          </w:divBdr>
        </w:div>
        <w:div w:id="412048805">
          <w:marLeft w:val="0"/>
          <w:marRight w:val="0"/>
          <w:marTop w:val="0"/>
          <w:marBottom w:val="225"/>
          <w:divBdr>
            <w:top w:val="none" w:sz="0" w:space="0" w:color="auto"/>
            <w:left w:val="none" w:sz="0" w:space="0" w:color="auto"/>
            <w:bottom w:val="none" w:sz="0" w:space="0" w:color="auto"/>
            <w:right w:val="none" w:sz="0" w:space="0" w:color="auto"/>
          </w:divBdr>
        </w:div>
        <w:div w:id="729427654">
          <w:marLeft w:val="0"/>
          <w:marRight w:val="0"/>
          <w:marTop w:val="0"/>
          <w:marBottom w:val="225"/>
          <w:divBdr>
            <w:top w:val="none" w:sz="0" w:space="0" w:color="auto"/>
            <w:left w:val="none" w:sz="0" w:space="0" w:color="auto"/>
            <w:bottom w:val="none" w:sz="0" w:space="0" w:color="auto"/>
            <w:right w:val="none" w:sz="0" w:space="0" w:color="auto"/>
          </w:divBdr>
        </w:div>
        <w:div w:id="1761683829">
          <w:marLeft w:val="0"/>
          <w:marRight w:val="0"/>
          <w:marTop w:val="0"/>
          <w:marBottom w:val="225"/>
          <w:divBdr>
            <w:top w:val="none" w:sz="0" w:space="0" w:color="auto"/>
            <w:left w:val="none" w:sz="0" w:space="0" w:color="auto"/>
            <w:bottom w:val="none" w:sz="0" w:space="0" w:color="auto"/>
            <w:right w:val="none" w:sz="0" w:space="0" w:color="auto"/>
          </w:divBdr>
        </w:div>
        <w:div w:id="199246261">
          <w:marLeft w:val="0"/>
          <w:marRight w:val="0"/>
          <w:marTop w:val="0"/>
          <w:marBottom w:val="225"/>
          <w:divBdr>
            <w:top w:val="none" w:sz="0" w:space="0" w:color="auto"/>
            <w:left w:val="none" w:sz="0" w:space="0" w:color="auto"/>
            <w:bottom w:val="none" w:sz="0" w:space="0" w:color="auto"/>
            <w:right w:val="none" w:sz="0" w:space="0" w:color="auto"/>
          </w:divBdr>
        </w:div>
        <w:div w:id="1482313343">
          <w:marLeft w:val="0"/>
          <w:marRight w:val="0"/>
          <w:marTop w:val="0"/>
          <w:marBottom w:val="225"/>
          <w:divBdr>
            <w:top w:val="none" w:sz="0" w:space="0" w:color="auto"/>
            <w:left w:val="none" w:sz="0" w:space="0" w:color="auto"/>
            <w:bottom w:val="none" w:sz="0" w:space="0" w:color="auto"/>
            <w:right w:val="none" w:sz="0" w:space="0" w:color="auto"/>
          </w:divBdr>
        </w:div>
        <w:div w:id="143353653">
          <w:marLeft w:val="0"/>
          <w:marRight w:val="0"/>
          <w:marTop w:val="0"/>
          <w:marBottom w:val="225"/>
          <w:divBdr>
            <w:top w:val="none" w:sz="0" w:space="0" w:color="auto"/>
            <w:left w:val="none" w:sz="0" w:space="0" w:color="auto"/>
            <w:bottom w:val="none" w:sz="0" w:space="0" w:color="auto"/>
            <w:right w:val="none" w:sz="0" w:space="0" w:color="auto"/>
          </w:divBdr>
        </w:div>
        <w:div w:id="2014841980">
          <w:marLeft w:val="0"/>
          <w:marRight w:val="0"/>
          <w:marTop w:val="0"/>
          <w:marBottom w:val="225"/>
          <w:divBdr>
            <w:top w:val="none" w:sz="0" w:space="0" w:color="auto"/>
            <w:left w:val="none" w:sz="0" w:space="0" w:color="auto"/>
            <w:bottom w:val="none" w:sz="0" w:space="0" w:color="auto"/>
            <w:right w:val="none" w:sz="0" w:space="0" w:color="auto"/>
          </w:divBdr>
        </w:div>
        <w:div w:id="74403544">
          <w:marLeft w:val="0"/>
          <w:marRight w:val="0"/>
          <w:marTop w:val="0"/>
          <w:marBottom w:val="225"/>
          <w:divBdr>
            <w:top w:val="none" w:sz="0" w:space="0" w:color="auto"/>
            <w:left w:val="none" w:sz="0" w:space="0" w:color="auto"/>
            <w:bottom w:val="none" w:sz="0" w:space="0" w:color="auto"/>
            <w:right w:val="none" w:sz="0" w:space="0" w:color="auto"/>
          </w:divBdr>
        </w:div>
        <w:div w:id="1456219332">
          <w:marLeft w:val="0"/>
          <w:marRight w:val="0"/>
          <w:marTop w:val="0"/>
          <w:marBottom w:val="225"/>
          <w:divBdr>
            <w:top w:val="none" w:sz="0" w:space="0" w:color="auto"/>
            <w:left w:val="none" w:sz="0" w:space="0" w:color="auto"/>
            <w:bottom w:val="none" w:sz="0" w:space="0" w:color="auto"/>
            <w:right w:val="none" w:sz="0" w:space="0" w:color="auto"/>
          </w:divBdr>
        </w:div>
        <w:div w:id="73016793">
          <w:marLeft w:val="0"/>
          <w:marRight w:val="0"/>
          <w:marTop w:val="0"/>
          <w:marBottom w:val="225"/>
          <w:divBdr>
            <w:top w:val="none" w:sz="0" w:space="0" w:color="auto"/>
            <w:left w:val="none" w:sz="0" w:space="0" w:color="auto"/>
            <w:bottom w:val="none" w:sz="0" w:space="0" w:color="auto"/>
            <w:right w:val="none" w:sz="0" w:space="0" w:color="auto"/>
          </w:divBdr>
        </w:div>
        <w:div w:id="178158214">
          <w:marLeft w:val="0"/>
          <w:marRight w:val="0"/>
          <w:marTop w:val="0"/>
          <w:marBottom w:val="225"/>
          <w:divBdr>
            <w:top w:val="none" w:sz="0" w:space="0" w:color="auto"/>
            <w:left w:val="none" w:sz="0" w:space="0" w:color="auto"/>
            <w:bottom w:val="none" w:sz="0" w:space="0" w:color="auto"/>
            <w:right w:val="none" w:sz="0" w:space="0" w:color="auto"/>
          </w:divBdr>
        </w:div>
        <w:div w:id="116679812">
          <w:marLeft w:val="0"/>
          <w:marRight w:val="0"/>
          <w:marTop w:val="0"/>
          <w:marBottom w:val="225"/>
          <w:divBdr>
            <w:top w:val="none" w:sz="0" w:space="0" w:color="auto"/>
            <w:left w:val="none" w:sz="0" w:space="0" w:color="auto"/>
            <w:bottom w:val="none" w:sz="0" w:space="0" w:color="auto"/>
            <w:right w:val="none" w:sz="0" w:space="0" w:color="auto"/>
          </w:divBdr>
        </w:div>
        <w:div w:id="903758953">
          <w:marLeft w:val="0"/>
          <w:marRight w:val="0"/>
          <w:marTop w:val="0"/>
          <w:marBottom w:val="225"/>
          <w:divBdr>
            <w:top w:val="none" w:sz="0" w:space="0" w:color="auto"/>
            <w:left w:val="none" w:sz="0" w:space="0" w:color="auto"/>
            <w:bottom w:val="none" w:sz="0" w:space="0" w:color="auto"/>
            <w:right w:val="none" w:sz="0" w:space="0" w:color="auto"/>
          </w:divBdr>
        </w:div>
        <w:div w:id="120806786">
          <w:marLeft w:val="0"/>
          <w:marRight w:val="0"/>
          <w:marTop w:val="0"/>
          <w:marBottom w:val="225"/>
          <w:divBdr>
            <w:top w:val="none" w:sz="0" w:space="0" w:color="auto"/>
            <w:left w:val="none" w:sz="0" w:space="0" w:color="auto"/>
            <w:bottom w:val="none" w:sz="0" w:space="0" w:color="auto"/>
            <w:right w:val="none" w:sz="0" w:space="0" w:color="auto"/>
          </w:divBdr>
        </w:div>
        <w:div w:id="1488668754">
          <w:marLeft w:val="0"/>
          <w:marRight w:val="0"/>
          <w:marTop w:val="0"/>
          <w:marBottom w:val="225"/>
          <w:divBdr>
            <w:top w:val="none" w:sz="0" w:space="0" w:color="auto"/>
            <w:left w:val="none" w:sz="0" w:space="0" w:color="auto"/>
            <w:bottom w:val="none" w:sz="0" w:space="0" w:color="auto"/>
            <w:right w:val="none" w:sz="0" w:space="0" w:color="auto"/>
          </w:divBdr>
        </w:div>
        <w:div w:id="457604756">
          <w:marLeft w:val="0"/>
          <w:marRight w:val="0"/>
          <w:marTop w:val="0"/>
          <w:marBottom w:val="225"/>
          <w:divBdr>
            <w:top w:val="none" w:sz="0" w:space="0" w:color="auto"/>
            <w:left w:val="none" w:sz="0" w:space="0" w:color="auto"/>
            <w:bottom w:val="none" w:sz="0" w:space="0" w:color="auto"/>
            <w:right w:val="none" w:sz="0" w:space="0" w:color="auto"/>
          </w:divBdr>
        </w:div>
        <w:div w:id="825130229">
          <w:marLeft w:val="0"/>
          <w:marRight w:val="0"/>
          <w:marTop w:val="0"/>
          <w:marBottom w:val="225"/>
          <w:divBdr>
            <w:top w:val="none" w:sz="0" w:space="0" w:color="auto"/>
            <w:left w:val="none" w:sz="0" w:space="0" w:color="auto"/>
            <w:bottom w:val="none" w:sz="0" w:space="0" w:color="auto"/>
            <w:right w:val="none" w:sz="0" w:space="0" w:color="auto"/>
          </w:divBdr>
        </w:div>
        <w:div w:id="1892420297">
          <w:marLeft w:val="0"/>
          <w:marRight w:val="0"/>
          <w:marTop w:val="0"/>
          <w:marBottom w:val="225"/>
          <w:divBdr>
            <w:top w:val="none" w:sz="0" w:space="0" w:color="auto"/>
            <w:left w:val="none" w:sz="0" w:space="0" w:color="auto"/>
            <w:bottom w:val="none" w:sz="0" w:space="0" w:color="auto"/>
            <w:right w:val="none" w:sz="0" w:space="0" w:color="auto"/>
          </w:divBdr>
        </w:div>
        <w:div w:id="1293441364">
          <w:marLeft w:val="0"/>
          <w:marRight w:val="0"/>
          <w:marTop w:val="0"/>
          <w:marBottom w:val="225"/>
          <w:divBdr>
            <w:top w:val="none" w:sz="0" w:space="0" w:color="auto"/>
            <w:left w:val="none" w:sz="0" w:space="0" w:color="auto"/>
            <w:bottom w:val="none" w:sz="0" w:space="0" w:color="auto"/>
            <w:right w:val="none" w:sz="0" w:space="0" w:color="auto"/>
          </w:divBdr>
        </w:div>
        <w:div w:id="157890133">
          <w:marLeft w:val="0"/>
          <w:marRight w:val="0"/>
          <w:marTop w:val="0"/>
          <w:marBottom w:val="225"/>
          <w:divBdr>
            <w:top w:val="none" w:sz="0" w:space="0" w:color="auto"/>
            <w:left w:val="none" w:sz="0" w:space="0" w:color="auto"/>
            <w:bottom w:val="none" w:sz="0" w:space="0" w:color="auto"/>
            <w:right w:val="none" w:sz="0" w:space="0" w:color="auto"/>
          </w:divBdr>
        </w:div>
        <w:div w:id="1761246661">
          <w:marLeft w:val="0"/>
          <w:marRight w:val="0"/>
          <w:marTop w:val="0"/>
          <w:marBottom w:val="225"/>
          <w:divBdr>
            <w:top w:val="none" w:sz="0" w:space="0" w:color="auto"/>
            <w:left w:val="none" w:sz="0" w:space="0" w:color="auto"/>
            <w:bottom w:val="none" w:sz="0" w:space="0" w:color="auto"/>
            <w:right w:val="none" w:sz="0" w:space="0" w:color="auto"/>
          </w:divBdr>
        </w:div>
        <w:div w:id="739333311">
          <w:marLeft w:val="0"/>
          <w:marRight w:val="0"/>
          <w:marTop w:val="0"/>
          <w:marBottom w:val="225"/>
          <w:divBdr>
            <w:top w:val="none" w:sz="0" w:space="0" w:color="auto"/>
            <w:left w:val="none" w:sz="0" w:space="0" w:color="auto"/>
            <w:bottom w:val="none" w:sz="0" w:space="0" w:color="auto"/>
            <w:right w:val="none" w:sz="0" w:space="0" w:color="auto"/>
          </w:divBdr>
        </w:div>
        <w:div w:id="1100638677">
          <w:marLeft w:val="0"/>
          <w:marRight w:val="0"/>
          <w:marTop w:val="0"/>
          <w:marBottom w:val="225"/>
          <w:divBdr>
            <w:top w:val="none" w:sz="0" w:space="0" w:color="auto"/>
            <w:left w:val="none" w:sz="0" w:space="0" w:color="auto"/>
            <w:bottom w:val="none" w:sz="0" w:space="0" w:color="auto"/>
            <w:right w:val="none" w:sz="0" w:space="0" w:color="auto"/>
          </w:divBdr>
        </w:div>
        <w:div w:id="1107848232">
          <w:marLeft w:val="0"/>
          <w:marRight w:val="0"/>
          <w:marTop w:val="0"/>
          <w:marBottom w:val="225"/>
          <w:divBdr>
            <w:top w:val="none" w:sz="0" w:space="0" w:color="auto"/>
            <w:left w:val="none" w:sz="0" w:space="0" w:color="auto"/>
            <w:bottom w:val="none" w:sz="0" w:space="0" w:color="auto"/>
            <w:right w:val="none" w:sz="0" w:space="0" w:color="auto"/>
          </w:divBdr>
        </w:div>
        <w:div w:id="1757746864">
          <w:marLeft w:val="0"/>
          <w:marRight w:val="0"/>
          <w:marTop w:val="0"/>
          <w:marBottom w:val="225"/>
          <w:divBdr>
            <w:top w:val="none" w:sz="0" w:space="0" w:color="auto"/>
            <w:left w:val="none" w:sz="0" w:space="0" w:color="auto"/>
            <w:bottom w:val="none" w:sz="0" w:space="0" w:color="auto"/>
            <w:right w:val="none" w:sz="0" w:space="0" w:color="auto"/>
          </w:divBdr>
        </w:div>
        <w:div w:id="1596133882">
          <w:marLeft w:val="0"/>
          <w:marRight w:val="0"/>
          <w:marTop w:val="0"/>
          <w:marBottom w:val="225"/>
          <w:divBdr>
            <w:top w:val="none" w:sz="0" w:space="0" w:color="auto"/>
            <w:left w:val="none" w:sz="0" w:space="0" w:color="auto"/>
            <w:bottom w:val="none" w:sz="0" w:space="0" w:color="auto"/>
            <w:right w:val="none" w:sz="0" w:space="0" w:color="auto"/>
          </w:divBdr>
        </w:div>
        <w:div w:id="720711897">
          <w:marLeft w:val="0"/>
          <w:marRight w:val="0"/>
          <w:marTop w:val="0"/>
          <w:marBottom w:val="225"/>
          <w:divBdr>
            <w:top w:val="none" w:sz="0" w:space="0" w:color="auto"/>
            <w:left w:val="none" w:sz="0" w:space="0" w:color="auto"/>
            <w:bottom w:val="none" w:sz="0" w:space="0" w:color="auto"/>
            <w:right w:val="none" w:sz="0" w:space="0" w:color="auto"/>
          </w:divBdr>
        </w:div>
        <w:div w:id="148442216">
          <w:marLeft w:val="0"/>
          <w:marRight w:val="0"/>
          <w:marTop w:val="0"/>
          <w:marBottom w:val="225"/>
          <w:divBdr>
            <w:top w:val="none" w:sz="0" w:space="0" w:color="auto"/>
            <w:left w:val="none" w:sz="0" w:space="0" w:color="auto"/>
            <w:bottom w:val="none" w:sz="0" w:space="0" w:color="auto"/>
            <w:right w:val="none" w:sz="0" w:space="0" w:color="auto"/>
          </w:divBdr>
        </w:div>
        <w:div w:id="248664682">
          <w:marLeft w:val="0"/>
          <w:marRight w:val="0"/>
          <w:marTop w:val="0"/>
          <w:marBottom w:val="225"/>
          <w:divBdr>
            <w:top w:val="none" w:sz="0" w:space="0" w:color="auto"/>
            <w:left w:val="none" w:sz="0" w:space="0" w:color="auto"/>
            <w:bottom w:val="none" w:sz="0" w:space="0" w:color="auto"/>
            <w:right w:val="none" w:sz="0" w:space="0" w:color="auto"/>
          </w:divBdr>
        </w:div>
        <w:div w:id="1270167199">
          <w:marLeft w:val="0"/>
          <w:marRight w:val="0"/>
          <w:marTop w:val="0"/>
          <w:marBottom w:val="225"/>
          <w:divBdr>
            <w:top w:val="none" w:sz="0" w:space="0" w:color="auto"/>
            <w:left w:val="none" w:sz="0" w:space="0" w:color="auto"/>
            <w:bottom w:val="none" w:sz="0" w:space="0" w:color="auto"/>
            <w:right w:val="none" w:sz="0" w:space="0" w:color="auto"/>
          </w:divBdr>
        </w:div>
        <w:div w:id="2037191735">
          <w:marLeft w:val="0"/>
          <w:marRight w:val="0"/>
          <w:marTop w:val="0"/>
          <w:marBottom w:val="225"/>
          <w:divBdr>
            <w:top w:val="none" w:sz="0" w:space="0" w:color="auto"/>
            <w:left w:val="none" w:sz="0" w:space="0" w:color="auto"/>
            <w:bottom w:val="none" w:sz="0" w:space="0" w:color="auto"/>
            <w:right w:val="none" w:sz="0" w:space="0" w:color="auto"/>
          </w:divBdr>
        </w:div>
        <w:div w:id="491913575">
          <w:marLeft w:val="0"/>
          <w:marRight w:val="0"/>
          <w:marTop w:val="0"/>
          <w:marBottom w:val="225"/>
          <w:divBdr>
            <w:top w:val="none" w:sz="0" w:space="0" w:color="auto"/>
            <w:left w:val="none" w:sz="0" w:space="0" w:color="auto"/>
            <w:bottom w:val="none" w:sz="0" w:space="0" w:color="auto"/>
            <w:right w:val="none" w:sz="0" w:space="0" w:color="auto"/>
          </w:divBdr>
        </w:div>
        <w:div w:id="1741711556">
          <w:marLeft w:val="0"/>
          <w:marRight w:val="0"/>
          <w:marTop w:val="0"/>
          <w:marBottom w:val="225"/>
          <w:divBdr>
            <w:top w:val="none" w:sz="0" w:space="0" w:color="auto"/>
            <w:left w:val="none" w:sz="0" w:space="0" w:color="auto"/>
            <w:bottom w:val="none" w:sz="0" w:space="0" w:color="auto"/>
            <w:right w:val="none" w:sz="0" w:space="0" w:color="auto"/>
          </w:divBdr>
        </w:div>
        <w:div w:id="1107652686">
          <w:marLeft w:val="0"/>
          <w:marRight w:val="0"/>
          <w:marTop w:val="0"/>
          <w:marBottom w:val="225"/>
          <w:divBdr>
            <w:top w:val="none" w:sz="0" w:space="0" w:color="auto"/>
            <w:left w:val="none" w:sz="0" w:space="0" w:color="auto"/>
            <w:bottom w:val="none" w:sz="0" w:space="0" w:color="auto"/>
            <w:right w:val="none" w:sz="0" w:space="0" w:color="auto"/>
          </w:divBdr>
        </w:div>
        <w:div w:id="12415540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ls</cp:lastModifiedBy>
  <cp:revision>1</cp:revision>
  <dcterms:created xsi:type="dcterms:W3CDTF">2019-12-10T06:32:00Z</dcterms:created>
  <dcterms:modified xsi:type="dcterms:W3CDTF">2019-12-10T06:33:00Z</dcterms:modified>
</cp:coreProperties>
</file>