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供应商未中标情况说明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标段编号：一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标段名称：杭州市余杭区行政服务中心（瓶窑市民之家）常态化企业开办“一日办结”公章刻制环节服务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65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杭州岩松广告有限公司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杭州卜五创业服务有限公司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杭州众速商务咨询有限公司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按价格从低到高，排名第4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4"/>
          <w:lang w:val="en-US" w:eastAsia="zh-CN" w:bidi="ar"/>
        </w:rPr>
        <w:t>备注：若标段废标，可对整个标段废标情况说明即可。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供应商未中标情况说明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标段编号：二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标段名称：未来科技城分中心常态化企业开办“一日办结”公章刻制环节服务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630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杭州之江印章字牌有限公司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杭州中盾安印科技有限公司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杭州邦信企业事务代理有限公司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大管家财务管理（杭州）有限公司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杭州萱和印章制作有限公司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杭州岩松广告有限公司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杭州市西湖区江忠刻章店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杭州众速商务咨询有限公司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按价格从低到高，排名第9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4"/>
          <w:lang w:val="en-US" w:eastAsia="zh-CN" w:bidi="ar"/>
        </w:rPr>
        <w:t>备注：若标段废标，可对整个标段废标情况说明即可。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供应商未中标情况说明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标段编号：三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b/>
          <w:bCs w:val="0"/>
          <w:kern w:val="2"/>
          <w:sz w:val="21"/>
          <w:szCs w:val="24"/>
          <w:lang w:val="en-US" w:eastAsia="zh-CN" w:bidi="ar"/>
        </w:rPr>
        <w:t>标段名称：良渚分中心常态化企业开办“一日办结”公章刻制环节服务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630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杭州之江印章字牌有限公司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杭州岩松广告有限公司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杭州中盾安印科技有限公司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杭州萱和印章制作有限公司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杭州卜五创业服务有限公司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杭州市西湖区江忠刻章店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杭州众速商务咨询有限公司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等线" w:hAnsi="等线" w:eastAsia="等线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按价格从低到高，排名第8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4"/>
          <w:lang w:val="en-US" w:eastAsia="zh-CN" w:bidi="ar"/>
        </w:rPr>
        <w:t>备注：若标段废标，可对整个标段废标情况说明即可。</w:t>
      </w:r>
    </w:p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D0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2022-01-12T06:47:34Z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0656A7A4CFA24AAD8EE0CDFB3F7D161E</vt:lpwstr>
  </property>
</Properties>
</file>