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Cs w:val="21"/>
          <w:lang w:val="en-US" w:eastAsia="zh-CN"/>
        </w:rPr>
      </w:pPr>
      <w:r>
        <w:rPr>
          <w:rFonts w:hint="eastAsia" w:ascii="宋体" w:hAnsi="宋体" w:cs="宋体"/>
          <w:szCs w:val="21"/>
          <w:lang w:val="en-US" w:eastAsia="zh-CN"/>
        </w:rPr>
        <w:t xml:space="preserve"> </w:t>
      </w:r>
    </w:p>
    <w:p>
      <w:pPr>
        <w:rPr>
          <w:rFonts w:ascii="宋体" w:hAnsi="宋体" w:cs="宋体"/>
          <w:szCs w:val="21"/>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84"/>
          <w:szCs w:val="84"/>
        </w:rPr>
      </w:pPr>
      <w:r>
        <w:rPr>
          <w:rFonts w:hint="eastAsia" w:ascii="宋体" w:hAnsi="宋体" w:cs="宋体"/>
          <w:b/>
          <w:bCs/>
          <w:sz w:val="52"/>
          <w:szCs w:val="52"/>
          <w:lang w:eastAsia="zh-CN"/>
        </w:rPr>
        <w:t>瓶窑华兴社区垃圾集置点（收集点）采购</w:t>
      </w:r>
    </w:p>
    <w:p>
      <w:pPr>
        <w:jc w:val="center"/>
        <w:rPr>
          <w:rFonts w:ascii="宋体" w:hAnsi="宋体" w:cs="宋体"/>
          <w:b/>
          <w:sz w:val="84"/>
          <w:szCs w:val="84"/>
        </w:rPr>
      </w:pPr>
    </w:p>
    <w:p>
      <w:pPr>
        <w:jc w:val="center"/>
        <w:rPr>
          <w:rFonts w:hint="eastAsia" w:ascii="宋体" w:hAnsi="宋体" w:cs="宋体"/>
          <w:b/>
          <w:sz w:val="84"/>
          <w:szCs w:val="84"/>
        </w:rPr>
      </w:pPr>
      <w:r>
        <w:rPr>
          <w:rFonts w:hint="eastAsia" w:ascii="宋体" w:hAnsi="宋体" w:cs="宋体"/>
          <w:b/>
          <w:sz w:val="84"/>
          <w:szCs w:val="84"/>
        </w:rPr>
        <w:t>招 标 文 件</w:t>
      </w:r>
    </w:p>
    <w:p>
      <w:pPr>
        <w:pStyle w:val="10"/>
      </w:pPr>
    </w:p>
    <w:p>
      <w:pPr>
        <w:jc w:val="center"/>
        <w:rPr>
          <w:rFonts w:ascii="宋体" w:hAnsi="宋体" w:cs="宋体"/>
          <w:b/>
          <w:sz w:val="36"/>
          <w:szCs w:val="36"/>
        </w:rPr>
      </w:pPr>
      <w:r>
        <w:rPr>
          <w:rFonts w:hint="eastAsia" w:ascii="宋体" w:hAnsi="宋体" w:cs="宋体"/>
          <w:b/>
          <w:sz w:val="36"/>
          <w:szCs w:val="36"/>
        </w:rPr>
        <w:t>（项目编号：</w:t>
      </w:r>
      <w:r>
        <w:rPr>
          <w:rFonts w:hint="eastAsia" w:ascii="宋体" w:hAnsi="宋体" w:cs="宋体"/>
          <w:b/>
          <w:sz w:val="36"/>
          <w:szCs w:val="36"/>
          <w:lang w:eastAsia="zh-CN"/>
        </w:rPr>
        <w:t>ZJDL-2021-其他001</w:t>
      </w:r>
      <w:r>
        <w:rPr>
          <w:rFonts w:hint="eastAsia" w:ascii="宋体" w:hAnsi="宋体" w:cs="宋体"/>
          <w:b/>
          <w:sz w:val="36"/>
          <w:szCs w:val="36"/>
        </w:rPr>
        <w:t>）</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p>
    <w:p>
      <w:pPr>
        <w:adjustRightInd w:val="0"/>
        <w:snapToGrid w:val="0"/>
        <w:spacing w:line="360" w:lineRule="auto"/>
        <w:jc w:val="center"/>
        <w:rPr>
          <w:rFonts w:hint="eastAsia" w:ascii="宋体" w:hAnsi="宋体" w:eastAsia="宋体" w:cs="宋体"/>
          <w:b/>
          <w:sz w:val="36"/>
          <w:szCs w:val="36"/>
          <w:lang w:eastAsia="zh-CN"/>
        </w:rPr>
      </w:pPr>
      <w:r>
        <w:rPr>
          <w:rFonts w:hint="eastAsia" w:ascii="宋体" w:hAnsi="宋体" w:cs="宋体"/>
          <w:b/>
          <w:sz w:val="36"/>
          <w:szCs w:val="36"/>
        </w:rPr>
        <w:t>采购人：</w:t>
      </w:r>
      <w:r>
        <w:rPr>
          <w:rFonts w:hint="eastAsia" w:ascii="宋体" w:hAnsi="宋体" w:cs="宋体"/>
          <w:b/>
          <w:sz w:val="36"/>
          <w:szCs w:val="36"/>
          <w:lang w:eastAsia="zh-CN"/>
        </w:rPr>
        <w:t>杭州市余杭区瓶窑镇华兴社区居委会</w:t>
      </w:r>
    </w:p>
    <w:p>
      <w:pPr>
        <w:adjustRightInd w:val="0"/>
        <w:snapToGrid w:val="0"/>
        <w:spacing w:line="360" w:lineRule="auto"/>
        <w:jc w:val="center"/>
        <w:rPr>
          <w:rFonts w:hint="eastAsia" w:ascii="宋体" w:hAnsi="宋体" w:eastAsia="宋体" w:cs="宋体"/>
          <w:bCs/>
          <w:sz w:val="28"/>
          <w:szCs w:val="28"/>
          <w:lang w:eastAsia="zh-CN"/>
        </w:rPr>
      </w:pPr>
      <w:r>
        <w:rPr>
          <w:rFonts w:hint="eastAsia" w:ascii="宋体" w:hAnsi="宋体" w:cs="宋体"/>
          <w:b/>
          <w:sz w:val="36"/>
          <w:szCs w:val="36"/>
        </w:rPr>
        <w:t>采购代理机构：</w:t>
      </w:r>
      <w:r>
        <w:rPr>
          <w:rFonts w:hint="eastAsia" w:ascii="宋体" w:hAnsi="宋体" w:cs="宋体"/>
          <w:b/>
          <w:sz w:val="36"/>
          <w:szCs w:val="36"/>
          <w:lang w:eastAsia="zh-CN"/>
        </w:rPr>
        <w:t>浙江中际工程项目管理有限公司</w:t>
      </w:r>
    </w:p>
    <w:p>
      <w:pPr>
        <w:shd w:val="clear" w:color="auto" w:fill="FFFFFF"/>
        <w:snapToGrid w:val="0"/>
        <w:spacing w:line="360" w:lineRule="auto"/>
        <w:ind w:firstLine="426"/>
        <w:textAlignment w:val="bottom"/>
        <w:rPr>
          <w:rFonts w:hint="eastAsia" w:ascii="宋体" w:hAnsi="宋体" w:cs="宋体"/>
          <w:b/>
          <w:bCs/>
          <w:color w:val="000000"/>
          <w:sz w:val="30"/>
          <w:szCs w:val="30"/>
        </w:rPr>
      </w:pPr>
      <w:r>
        <w:rPr>
          <w:rFonts w:hint="eastAsia" w:ascii="宋体" w:hAnsi="宋体" w:cs="宋体"/>
          <w:b/>
          <w:bCs/>
          <w:color w:val="000000"/>
          <w:sz w:val="30"/>
          <w:szCs w:val="30"/>
        </w:rPr>
        <w:t xml:space="preserve"> </w:t>
      </w:r>
      <w:r>
        <w:rPr>
          <w:rFonts w:hint="eastAsia" w:ascii="宋体" w:hAnsi="宋体" w:cs="宋体"/>
          <w:b/>
          <w:bCs/>
          <w:color w:val="000000"/>
          <w:sz w:val="30"/>
          <w:szCs w:val="30"/>
          <w:lang w:val="en-US" w:eastAsia="zh-CN"/>
        </w:rPr>
        <w:t xml:space="preserve">                  </w:t>
      </w:r>
      <w:r>
        <w:rPr>
          <w:rFonts w:hint="eastAsia" w:ascii="宋体" w:hAnsi="宋体" w:cs="宋体"/>
          <w:b/>
          <w:bCs/>
          <w:color w:val="000000"/>
          <w:sz w:val="30"/>
          <w:szCs w:val="30"/>
        </w:rPr>
        <w:t>二O二</w:t>
      </w:r>
      <w:r>
        <w:rPr>
          <w:rFonts w:hint="eastAsia" w:ascii="宋体" w:hAnsi="宋体" w:cs="宋体"/>
          <w:b/>
          <w:bCs/>
          <w:color w:val="000000"/>
          <w:sz w:val="30"/>
          <w:szCs w:val="30"/>
          <w:lang w:val="en-US" w:eastAsia="zh-CN"/>
        </w:rPr>
        <w:t>一</w:t>
      </w:r>
      <w:r>
        <w:rPr>
          <w:rFonts w:hint="eastAsia" w:ascii="宋体" w:hAnsi="宋体" w:cs="宋体"/>
          <w:b/>
          <w:bCs/>
          <w:color w:val="000000"/>
          <w:sz w:val="30"/>
          <w:szCs w:val="30"/>
        </w:rPr>
        <w:t>年</w:t>
      </w:r>
      <w:r>
        <w:rPr>
          <w:rFonts w:hint="eastAsia" w:ascii="宋体" w:hAnsi="宋体" w:cs="宋体"/>
          <w:b/>
          <w:bCs/>
          <w:color w:val="000000"/>
          <w:sz w:val="30"/>
          <w:szCs w:val="30"/>
          <w:lang w:val="en-US" w:eastAsia="zh-CN"/>
        </w:rPr>
        <w:t xml:space="preserve"> 9</w:t>
      </w:r>
      <w:r>
        <w:rPr>
          <w:rFonts w:hint="eastAsia" w:ascii="宋体" w:hAnsi="宋体" w:cs="宋体"/>
          <w:b/>
          <w:bCs/>
          <w:color w:val="000000"/>
          <w:sz w:val="30"/>
          <w:szCs w:val="30"/>
        </w:rPr>
        <w:t>月</w:t>
      </w:r>
      <w:bookmarkStart w:id="51" w:name="_GoBack"/>
      <w:bookmarkEnd w:id="51"/>
    </w:p>
    <w:p>
      <w:pPr>
        <w:spacing w:line="600" w:lineRule="exact"/>
        <w:jc w:val="center"/>
        <w:rPr>
          <w:rFonts w:ascii="宋体" w:hAnsi="宋体" w:cs="宋体"/>
          <w:b/>
          <w:sz w:val="36"/>
          <w:szCs w:val="36"/>
        </w:rPr>
      </w:pPr>
    </w:p>
    <w:p>
      <w:pPr>
        <w:spacing w:line="600" w:lineRule="exact"/>
        <w:jc w:val="center"/>
        <w:rPr>
          <w:rFonts w:ascii="宋体" w:hAnsi="宋体" w:cs="宋体"/>
          <w:b/>
          <w:sz w:val="36"/>
          <w:szCs w:val="36"/>
        </w:rPr>
      </w:pPr>
      <w:r>
        <w:rPr>
          <w:rFonts w:hint="eastAsia" w:ascii="宋体" w:hAnsi="宋体" w:cs="宋体"/>
          <w:b/>
          <w:kern w:val="0"/>
          <w:sz w:val="36"/>
          <w:szCs w:val="36"/>
        </w:rPr>
        <w:br w:type="page"/>
      </w:r>
    </w:p>
    <w:p>
      <w:pPr>
        <w:adjustRightInd w:val="0"/>
        <w:snapToGrid w:val="0"/>
        <w:spacing w:line="480" w:lineRule="auto"/>
        <w:jc w:val="center"/>
        <w:rPr>
          <w:rFonts w:ascii="宋体" w:hAnsi="宋体" w:cs="宋体"/>
          <w:b/>
          <w:bCs/>
          <w:sz w:val="72"/>
        </w:rPr>
      </w:pPr>
      <w:r>
        <w:rPr>
          <w:rFonts w:hint="eastAsia" w:ascii="宋体" w:hAnsi="宋体" w:cs="宋体"/>
          <w:b/>
          <w:bCs/>
          <w:sz w:val="72"/>
        </w:rPr>
        <w:t>目     录</w:t>
      </w:r>
    </w:p>
    <w:p>
      <w:pPr>
        <w:pStyle w:val="14"/>
        <w:tabs>
          <w:tab w:val="right" w:leader="dot" w:pos="8998"/>
        </w:tabs>
        <w:rPr>
          <w:rFonts w:ascii="宋体" w:hAnsi="宋体" w:cs="宋体"/>
          <w:kern w:val="2"/>
          <w:sz w:val="24"/>
          <w:szCs w:val="24"/>
        </w:rPr>
      </w:pPr>
      <w:r>
        <w:rPr>
          <w:rFonts w:hint="eastAsia" w:ascii="宋体" w:hAnsi="宋体" w:cs="宋体"/>
        </w:rPr>
        <w:fldChar w:fldCharType="begin"/>
      </w:r>
      <w:r>
        <w:rPr>
          <w:rFonts w:hint="eastAsia" w:ascii="宋体" w:hAnsi="宋体" w:cs="宋体"/>
        </w:rPr>
        <w:instrText xml:space="preserve"> TOC \o "1-1" \h \z \u </w:instrText>
      </w:r>
      <w:r>
        <w:rPr>
          <w:rFonts w:hint="eastAsia" w:ascii="宋体" w:hAnsi="宋体" w:cs="宋体"/>
        </w:rPr>
        <w:fldChar w:fldCharType="separate"/>
      </w:r>
      <w:r>
        <w:fldChar w:fldCharType="begin"/>
      </w:r>
      <w:r>
        <w:instrText xml:space="preserve">HYPERLINK \l "_Toc20338"</w:instrText>
      </w:r>
      <w:r>
        <w:fldChar w:fldCharType="separate"/>
      </w:r>
      <w:r>
        <w:rPr>
          <w:rFonts w:hint="eastAsia" w:ascii="宋体" w:hAnsi="宋体" w:cs="宋体"/>
          <w:kern w:val="2"/>
          <w:sz w:val="24"/>
          <w:szCs w:val="24"/>
        </w:rPr>
        <w:t>第一部分 招标公告</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_Toc20338 </w:instrText>
      </w:r>
      <w:r>
        <w:rPr>
          <w:rFonts w:hint="eastAsia" w:ascii="宋体" w:hAnsi="宋体" w:cs="宋体"/>
          <w:kern w:val="2"/>
          <w:sz w:val="24"/>
          <w:szCs w:val="24"/>
        </w:rPr>
        <w:fldChar w:fldCharType="separate"/>
      </w:r>
      <w:r>
        <w:rPr>
          <w:rFonts w:hint="eastAsia" w:ascii="宋体" w:hAnsi="宋体" w:cs="宋体"/>
          <w:kern w:val="2"/>
          <w:sz w:val="24"/>
          <w:szCs w:val="24"/>
        </w:rPr>
        <w:t>- 3 -</w:t>
      </w:r>
      <w:r>
        <w:rPr>
          <w:rFonts w:hint="eastAsia" w:ascii="宋体" w:hAnsi="宋体" w:cs="宋体"/>
          <w:kern w:val="2"/>
          <w:sz w:val="24"/>
          <w:szCs w:val="24"/>
        </w:rPr>
        <w:fldChar w:fldCharType="end"/>
      </w:r>
      <w:r>
        <w:fldChar w:fldCharType="end"/>
      </w:r>
    </w:p>
    <w:p>
      <w:pPr>
        <w:pStyle w:val="14"/>
        <w:tabs>
          <w:tab w:val="right" w:leader="dot" w:pos="8998"/>
        </w:tabs>
        <w:rPr>
          <w:rFonts w:ascii="宋体" w:hAnsi="宋体" w:cs="宋体"/>
          <w:kern w:val="2"/>
          <w:sz w:val="24"/>
          <w:szCs w:val="24"/>
        </w:rPr>
      </w:pPr>
      <w:r>
        <w:fldChar w:fldCharType="begin"/>
      </w:r>
      <w:r>
        <w:instrText xml:space="preserve">HYPERLINK \l "_Toc18530"</w:instrText>
      </w:r>
      <w:r>
        <w:fldChar w:fldCharType="separate"/>
      </w:r>
      <w:r>
        <w:rPr>
          <w:rFonts w:hint="eastAsia" w:ascii="宋体" w:hAnsi="宋体" w:cs="宋体"/>
          <w:kern w:val="2"/>
          <w:sz w:val="24"/>
          <w:szCs w:val="24"/>
        </w:rPr>
        <w:t>第二部分 投标人须知</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_Toc18530 </w:instrText>
      </w:r>
      <w:r>
        <w:rPr>
          <w:rFonts w:hint="eastAsia" w:ascii="宋体" w:hAnsi="宋体" w:cs="宋体"/>
          <w:kern w:val="2"/>
          <w:sz w:val="24"/>
          <w:szCs w:val="24"/>
        </w:rPr>
        <w:fldChar w:fldCharType="separate"/>
      </w:r>
      <w:r>
        <w:rPr>
          <w:rFonts w:hint="eastAsia" w:ascii="宋体" w:hAnsi="宋体" w:cs="宋体"/>
          <w:kern w:val="2"/>
          <w:sz w:val="24"/>
          <w:szCs w:val="24"/>
        </w:rPr>
        <w:t xml:space="preserve">- </w:t>
      </w:r>
      <w:r>
        <w:rPr>
          <w:rFonts w:hint="eastAsia" w:ascii="宋体" w:hAnsi="宋体" w:cs="宋体"/>
          <w:kern w:val="2"/>
          <w:sz w:val="24"/>
          <w:szCs w:val="24"/>
          <w:lang w:val="en-US" w:eastAsia="zh-CN"/>
        </w:rPr>
        <w:t>6</w:t>
      </w:r>
      <w:r>
        <w:rPr>
          <w:rFonts w:hint="eastAsia" w:ascii="宋体" w:hAnsi="宋体" w:cs="宋体"/>
          <w:kern w:val="2"/>
          <w:sz w:val="24"/>
          <w:szCs w:val="24"/>
        </w:rPr>
        <w:t xml:space="preserve"> -</w:t>
      </w:r>
      <w:r>
        <w:rPr>
          <w:rFonts w:hint="eastAsia" w:ascii="宋体" w:hAnsi="宋体" w:cs="宋体"/>
          <w:kern w:val="2"/>
          <w:sz w:val="24"/>
          <w:szCs w:val="24"/>
        </w:rPr>
        <w:fldChar w:fldCharType="end"/>
      </w:r>
      <w:r>
        <w:fldChar w:fldCharType="end"/>
      </w:r>
    </w:p>
    <w:p>
      <w:pPr>
        <w:pStyle w:val="14"/>
        <w:tabs>
          <w:tab w:val="right" w:leader="dot" w:pos="8998"/>
        </w:tabs>
        <w:rPr>
          <w:rFonts w:ascii="宋体" w:hAnsi="宋体" w:cs="宋体"/>
          <w:kern w:val="2"/>
          <w:sz w:val="24"/>
          <w:szCs w:val="24"/>
        </w:rPr>
      </w:pPr>
      <w:r>
        <w:fldChar w:fldCharType="begin"/>
      </w:r>
      <w:r>
        <w:instrText xml:space="preserve">HYPERLINK \l "_Toc30441"</w:instrText>
      </w:r>
      <w:r>
        <w:fldChar w:fldCharType="separate"/>
      </w:r>
      <w:r>
        <w:rPr>
          <w:rFonts w:hint="eastAsia" w:ascii="宋体" w:hAnsi="宋体" w:cs="宋体"/>
          <w:kern w:val="2"/>
          <w:sz w:val="24"/>
          <w:szCs w:val="24"/>
        </w:rPr>
        <w:t>第三部分 采购需求</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_Toc30441 </w:instrText>
      </w:r>
      <w:r>
        <w:rPr>
          <w:rFonts w:hint="eastAsia" w:ascii="宋体" w:hAnsi="宋体" w:cs="宋体"/>
          <w:kern w:val="2"/>
          <w:sz w:val="24"/>
          <w:szCs w:val="24"/>
        </w:rPr>
        <w:fldChar w:fldCharType="separate"/>
      </w:r>
      <w:r>
        <w:rPr>
          <w:rFonts w:hint="eastAsia" w:ascii="宋体" w:hAnsi="宋体" w:cs="宋体"/>
          <w:kern w:val="2"/>
          <w:sz w:val="24"/>
          <w:szCs w:val="24"/>
        </w:rPr>
        <w:t xml:space="preserve">- </w:t>
      </w:r>
      <w:r>
        <w:rPr>
          <w:rFonts w:hint="eastAsia" w:ascii="宋体" w:hAnsi="宋体" w:cs="宋体"/>
          <w:kern w:val="2"/>
          <w:sz w:val="24"/>
          <w:szCs w:val="24"/>
          <w:lang w:val="en-US" w:eastAsia="zh-CN"/>
        </w:rPr>
        <w:t>21</w:t>
      </w:r>
      <w:r>
        <w:rPr>
          <w:rFonts w:hint="eastAsia" w:ascii="宋体" w:hAnsi="宋体" w:cs="宋体"/>
          <w:kern w:val="2"/>
          <w:sz w:val="24"/>
          <w:szCs w:val="24"/>
        </w:rPr>
        <w:t xml:space="preserve"> -</w:t>
      </w:r>
      <w:r>
        <w:rPr>
          <w:rFonts w:hint="eastAsia" w:ascii="宋体" w:hAnsi="宋体" w:cs="宋体"/>
          <w:kern w:val="2"/>
          <w:sz w:val="24"/>
          <w:szCs w:val="24"/>
        </w:rPr>
        <w:fldChar w:fldCharType="end"/>
      </w:r>
      <w:r>
        <w:fldChar w:fldCharType="end"/>
      </w:r>
    </w:p>
    <w:p>
      <w:pPr>
        <w:pStyle w:val="14"/>
        <w:tabs>
          <w:tab w:val="right" w:leader="dot" w:pos="8998"/>
        </w:tabs>
        <w:rPr>
          <w:rFonts w:ascii="宋体" w:hAnsi="宋体" w:cs="宋体"/>
          <w:kern w:val="2"/>
          <w:sz w:val="24"/>
          <w:szCs w:val="24"/>
        </w:rPr>
      </w:pPr>
      <w:r>
        <w:fldChar w:fldCharType="begin"/>
      </w:r>
      <w:r>
        <w:instrText xml:space="preserve">HYPERLINK \l "_Toc29888"</w:instrText>
      </w:r>
      <w:r>
        <w:fldChar w:fldCharType="separate"/>
      </w:r>
      <w:r>
        <w:rPr>
          <w:rFonts w:hint="eastAsia" w:ascii="宋体" w:hAnsi="宋体" w:cs="宋体"/>
          <w:kern w:val="2"/>
          <w:sz w:val="24"/>
          <w:szCs w:val="24"/>
        </w:rPr>
        <w:t>第四部分 合同样本</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_Toc29888 </w:instrText>
      </w:r>
      <w:r>
        <w:rPr>
          <w:rFonts w:hint="eastAsia" w:ascii="宋体" w:hAnsi="宋体" w:cs="宋体"/>
          <w:kern w:val="2"/>
          <w:sz w:val="24"/>
          <w:szCs w:val="24"/>
        </w:rPr>
        <w:fldChar w:fldCharType="separate"/>
      </w:r>
      <w:r>
        <w:rPr>
          <w:rFonts w:hint="eastAsia" w:ascii="宋体" w:hAnsi="宋体" w:cs="宋体"/>
          <w:kern w:val="2"/>
          <w:sz w:val="24"/>
          <w:szCs w:val="24"/>
        </w:rPr>
        <w:t>- 2</w:t>
      </w:r>
      <w:r>
        <w:rPr>
          <w:rFonts w:hint="eastAsia" w:ascii="宋体" w:hAnsi="宋体" w:cs="宋体"/>
          <w:kern w:val="2"/>
          <w:sz w:val="24"/>
          <w:szCs w:val="24"/>
          <w:lang w:val="en-US" w:eastAsia="zh-CN"/>
        </w:rPr>
        <w:t>4</w:t>
      </w:r>
      <w:r>
        <w:rPr>
          <w:rFonts w:hint="eastAsia" w:ascii="宋体" w:hAnsi="宋体" w:cs="宋体"/>
          <w:kern w:val="2"/>
          <w:sz w:val="24"/>
          <w:szCs w:val="24"/>
        </w:rPr>
        <w:t xml:space="preserve"> -</w:t>
      </w:r>
      <w:r>
        <w:rPr>
          <w:rFonts w:hint="eastAsia" w:ascii="宋体" w:hAnsi="宋体" w:cs="宋体"/>
          <w:kern w:val="2"/>
          <w:sz w:val="24"/>
          <w:szCs w:val="24"/>
        </w:rPr>
        <w:fldChar w:fldCharType="end"/>
      </w:r>
      <w:r>
        <w:fldChar w:fldCharType="end"/>
      </w:r>
    </w:p>
    <w:p>
      <w:pPr>
        <w:pStyle w:val="14"/>
        <w:tabs>
          <w:tab w:val="right" w:leader="dot" w:pos="8998"/>
        </w:tabs>
        <w:rPr>
          <w:rFonts w:hint="eastAsia" w:eastAsia="宋体"/>
          <w:kern w:val="2"/>
          <w:szCs w:val="24"/>
          <w:lang w:val="en-US" w:eastAsia="zh-CN"/>
        </w:rPr>
      </w:pPr>
      <w:r>
        <w:fldChar w:fldCharType="begin"/>
      </w:r>
      <w:r>
        <w:instrText xml:space="preserve">HYPERLINK \l "_Toc7847"</w:instrText>
      </w:r>
      <w:r>
        <w:fldChar w:fldCharType="separate"/>
      </w:r>
      <w:r>
        <w:rPr>
          <w:rFonts w:hint="eastAsia" w:ascii="宋体" w:hAnsi="宋体" w:cs="宋体"/>
          <w:kern w:val="2"/>
          <w:sz w:val="24"/>
          <w:szCs w:val="24"/>
        </w:rPr>
        <w:t>第五部分 投标文件格式</w:t>
      </w:r>
      <w:r>
        <w:rPr>
          <w:rFonts w:hint="eastAsia" w:ascii="宋体" w:hAnsi="宋体" w:cs="宋体"/>
          <w:kern w:val="2"/>
          <w:sz w:val="24"/>
          <w:szCs w:val="24"/>
        </w:rPr>
        <w:tab/>
      </w:r>
      <w:r>
        <w:rPr>
          <w:rFonts w:hint="eastAsia" w:ascii="宋体" w:hAnsi="宋体" w:cs="宋体"/>
          <w:kern w:val="2"/>
          <w:sz w:val="24"/>
          <w:szCs w:val="24"/>
          <w:lang w:val="en-US" w:eastAsia="zh-CN"/>
        </w:rPr>
        <w:t>2</w:t>
      </w:r>
      <w:r>
        <w:fldChar w:fldCharType="end"/>
      </w:r>
      <w:r>
        <w:rPr>
          <w:rFonts w:hint="eastAsia"/>
          <w:lang w:val="en-US" w:eastAsia="zh-CN"/>
        </w:rPr>
        <w:t>6</w:t>
      </w:r>
    </w:p>
    <w:p>
      <w:pPr>
        <w:rPr>
          <w:rFonts w:ascii="宋体" w:hAnsi="宋体" w:cs="宋体"/>
        </w:rPr>
      </w:pPr>
      <w:r>
        <w:rPr>
          <w:rFonts w:hint="eastAsia" w:ascii="宋体" w:hAnsi="宋体" w:cs="宋体"/>
          <w:kern w:val="0"/>
          <w:sz w:val="22"/>
        </w:rPr>
        <w:fldChar w:fldCharType="end"/>
      </w:r>
    </w:p>
    <w:p>
      <w:pPr>
        <w:pStyle w:val="23"/>
        <w:spacing w:line="360" w:lineRule="auto"/>
        <w:rPr>
          <w:rFonts w:ascii="宋体" w:hAnsi="宋体" w:eastAsia="宋体" w:cs="宋体"/>
        </w:rPr>
      </w:pPr>
      <w:r>
        <w:rPr>
          <w:rFonts w:hint="eastAsia" w:ascii="宋体" w:hAnsi="宋体" w:eastAsia="宋体" w:cs="宋体"/>
          <w:b w:val="0"/>
          <w:bCs w:val="0"/>
        </w:rPr>
        <w:br w:type="page"/>
      </w:r>
      <w:bookmarkStart w:id="0" w:name="_Toc20338"/>
      <w:bookmarkStart w:id="1" w:name="_Toc482110464"/>
      <w:r>
        <w:rPr>
          <w:rFonts w:hint="eastAsia" w:ascii="宋体" w:hAnsi="宋体" w:eastAsia="宋体" w:cs="宋体"/>
        </w:rPr>
        <w:t>第一部分 招标公告</w:t>
      </w:r>
      <w:bookmarkEnd w:id="0"/>
      <w:bookmarkEnd w:id="1"/>
    </w:p>
    <w:p>
      <w:pPr>
        <w:keepNext w:val="0"/>
        <w:keepLines w:val="0"/>
        <w:pageBreakBefore w:val="0"/>
        <w:widowControl w:val="0"/>
        <w:kinsoku/>
        <w:wordWrap/>
        <w:overflowPunct/>
        <w:topLinePunct w:val="0"/>
        <w:autoSpaceDE/>
        <w:autoSpaceDN/>
        <w:bidi w:val="0"/>
        <w:adjustRightInd w:val="0"/>
        <w:snapToGrid w:val="0"/>
        <w:spacing w:line="440" w:lineRule="exact"/>
        <w:ind w:firstLine="720" w:firstLineChars="300"/>
        <w:textAlignment w:val="auto"/>
        <w:rPr>
          <w:rFonts w:ascii="宋体" w:hAnsi="宋体" w:cs="宋体"/>
          <w:sz w:val="24"/>
        </w:rPr>
      </w:pPr>
      <w:bookmarkStart w:id="2" w:name="_Toc18530"/>
      <w:bookmarkStart w:id="3" w:name="_Toc482110465"/>
      <w:r>
        <w:rPr>
          <w:rFonts w:hint="eastAsia" w:ascii="宋体" w:hAnsi="宋体" w:cs="宋体"/>
          <w:sz w:val="24"/>
        </w:rPr>
        <w:t>现就</w:t>
      </w:r>
      <w:r>
        <w:rPr>
          <w:rFonts w:hint="eastAsia" w:ascii="宋体" w:hAnsi="宋体" w:cs="宋体"/>
          <w:sz w:val="24"/>
          <w:lang w:eastAsia="zh-CN"/>
        </w:rPr>
        <w:t>杭州市余杭区瓶窑镇华兴社区居委会</w:t>
      </w:r>
      <w:r>
        <w:rPr>
          <w:rFonts w:hint="eastAsia" w:ascii="宋体" w:hAnsi="宋体" w:cs="宋体"/>
          <w:sz w:val="24"/>
        </w:rPr>
        <w:t>的</w:t>
      </w:r>
      <w:r>
        <w:rPr>
          <w:rFonts w:hint="eastAsia" w:ascii="宋体" w:hAnsi="宋体" w:cs="宋体"/>
          <w:sz w:val="24"/>
          <w:lang w:eastAsia="zh-CN"/>
        </w:rPr>
        <w:t>瓶窑华兴社区垃圾集置点（收集点）采购</w:t>
      </w:r>
      <w:r>
        <w:rPr>
          <w:rFonts w:hint="eastAsia" w:ascii="宋体" w:hAnsi="宋体" w:cs="宋体"/>
          <w:sz w:val="24"/>
        </w:rPr>
        <w:t>进行公开招标采购。欢迎符合要求并有能力完成本项目的投标人前来投标。</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cs="宋体"/>
          <w:sz w:val="24"/>
        </w:rPr>
      </w:pPr>
      <w:r>
        <w:rPr>
          <w:rFonts w:hint="eastAsia" w:ascii="宋体" w:hAnsi="宋体" w:cs="宋体"/>
          <w:b/>
          <w:sz w:val="24"/>
        </w:rPr>
        <w:t>一、项目名称及编号：</w:t>
      </w:r>
      <w:r>
        <w:rPr>
          <w:rFonts w:hint="eastAsia" w:ascii="宋体" w:hAnsi="宋体" w:cs="宋体"/>
          <w:b/>
          <w:bCs/>
          <w:sz w:val="24"/>
          <w:lang w:eastAsia="zh-CN"/>
        </w:rPr>
        <w:t>瓶窑华兴社区垃圾集置点（收集点）采购</w:t>
      </w:r>
      <w:r>
        <w:rPr>
          <w:rFonts w:hint="eastAsia" w:ascii="宋体" w:hAnsi="宋体" w:cs="宋体"/>
          <w:sz w:val="24"/>
        </w:rPr>
        <w:t>（</w:t>
      </w:r>
      <w:r>
        <w:rPr>
          <w:rFonts w:hint="eastAsia" w:ascii="宋体" w:hAnsi="宋体" w:cs="宋体"/>
          <w:sz w:val="24"/>
          <w:lang w:eastAsia="zh-CN"/>
        </w:rPr>
        <w:t>ZJDL-2021-其他001</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cs="宋体"/>
          <w:b/>
          <w:bCs/>
          <w:sz w:val="24"/>
        </w:rPr>
      </w:pPr>
      <w:r>
        <w:rPr>
          <w:rFonts w:hint="eastAsia" w:ascii="宋体" w:hAnsi="宋体" w:cs="宋体"/>
          <w:b/>
          <w:bCs/>
          <w:sz w:val="24"/>
        </w:rPr>
        <w:t>二、采购组织类型：分散采购</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cs="宋体"/>
          <w:b/>
          <w:bCs/>
          <w:sz w:val="24"/>
        </w:rPr>
      </w:pPr>
      <w:r>
        <w:rPr>
          <w:rFonts w:hint="eastAsia" w:ascii="宋体" w:hAnsi="宋体" w:cs="宋体"/>
          <w:b/>
          <w:bCs/>
          <w:sz w:val="24"/>
        </w:rPr>
        <w:t>三、采购方式：公开招标</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cs="宋体"/>
          <w:b/>
          <w:bCs/>
          <w:sz w:val="24"/>
        </w:rPr>
      </w:pPr>
      <w:r>
        <w:rPr>
          <w:rFonts w:hint="eastAsia" w:ascii="宋体" w:hAnsi="宋体" w:cs="宋体"/>
          <w:b/>
          <w:bCs/>
          <w:sz w:val="24"/>
        </w:rPr>
        <w:t>四、采购内容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72" w:firstLineChars="196"/>
        <w:textAlignment w:val="auto"/>
        <w:rPr>
          <w:rFonts w:hint="eastAsia" w:ascii="宋体" w:hAnsi="宋体" w:cs="宋体"/>
          <w:b/>
          <w:bCs/>
          <w:sz w:val="24"/>
        </w:rPr>
      </w:pPr>
      <w:r>
        <w:rPr>
          <w:rFonts w:hint="eastAsia" w:ascii="宋体" w:hAnsi="宋体" w:cs="宋体"/>
          <w:b/>
          <w:bCs/>
          <w:sz w:val="24"/>
        </w:rPr>
        <w:t>本项目采购总预算价为</w:t>
      </w:r>
      <w:r>
        <w:rPr>
          <w:rFonts w:hint="eastAsia" w:ascii="宋体" w:hAnsi="宋体" w:cs="宋体"/>
          <w:b/>
          <w:bCs/>
          <w:sz w:val="24"/>
          <w:highlight w:val="none"/>
          <w:lang w:val="en-US" w:eastAsia="zh-CN"/>
        </w:rPr>
        <w:t>25</w:t>
      </w:r>
      <w:r>
        <w:rPr>
          <w:rFonts w:ascii="宋体" w:hAnsi="宋体" w:cs="宋体"/>
          <w:b/>
          <w:bCs/>
          <w:sz w:val="24"/>
          <w:highlight w:val="none"/>
        </w:rPr>
        <w:t>万元</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cs="宋体"/>
          <w:b/>
          <w:bCs/>
          <w:sz w:val="24"/>
        </w:rPr>
      </w:pPr>
      <w:r>
        <w:rPr>
          <w:rFonts w:hint="eastAsia" w:ascii="宋体" w:hAnsi="宋体" w:cs="宋体"/>
          <w:b/>
          <w:bCs/>
          <w:sz w:val="24"/>
        </w:rPr>
        <w:t>五、合格投标人的资格要求</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1、满足《中华人民共和国政府采购法》第二十二条规定；</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2、落实政府采购政策需满足的资格要求：1）本项目对符合财政扶持政策的中小企业（小型、微型）、监狱企业、残疾人福利性单位给予价格优惠扶持；2）满足转发财政部工业和信息化部关于印发《</w:t>
      </w:r>
      <w:r>
        <w:rPr>
          <w:rFonts w:hint="eastAsia" w:ascii="宋体" w:hAnsi="宋体" w:cs="宋体"/>
          <w:sz w:val="24"/>
          <w:highlight w:val="none"/>
          <w:lang w:eastAsia="zh-CN"/>
        </w:rPr>
        <w:t>政府采购促进中小企业发展管理办法</w:t>
      </w:r>
      <w:r>
        <w:rPr>
          <w:rFonts w:hint="eastAsia" w:ascii="宋体" w:hAnsi="宋体" w:cs="宋体"/>
          <w:sz w:val="24"/>
          <w:highlight w:val="none"/>
        </w:rPr>
        <w:t>》的通知（</w:t>
      </w:r>
      <w:r>
        <w:rPr>
          <w:rFonts w:hint="eastAsia" w:ascii="宋体" w:hAnsi="宋体" w:cs="宋体"/>
          <w:sz w:val="24"/>
          <w:highlight w:val="none"/>
          <w:lang w:eastAsia="zh-CN"/>
        </w:rPr>
        <w:t>财库〔2020〕46号</w:t>
      </w:r>
      <w:r>
        <w:rPr>
          <w:rFonts w:hint="eastAsia" w:ascii="宋体" w:hAnsi="宋体" w:cs="宋体"/>
          <w:sz w:val="24"/>
          <w:highlight w:val="none"/>
        </w:rPr>
        <w:t>）的规定的中小企业可享受优惠扶持；满足关于政府采购支持监狱企业发展有关问题的通知（财库[2014]68号）的规定的供应商可享受优惠扶持；满足关于促进残疾人就业政府采购政策的通知（财库[2017]141号）的规定的供应商可享受优惠扶持；3）节能产品、环境标志产品的强制采购政策；4）节能产品、环境标志产品的优先采购政策；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3、本项目的特定资格要求：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、本项目不接受联合体投标。</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textAlignment w:val="auto"/>
        <w:rPr>
          <w:rFonts w:ascii="宋体" w:hAnsi="宋体" w:cs="宋体"/>
          <w:b/>
          <w:bCs/>
          <w:sz w:val="24"/>
        </w:rPr>
      </w:pPr>
      <w:r>
        <w:rPr>
          <w:rFonts w:hint="eastAsia" w:ascii="宋体" w:hAnsi="宋体" w:cs="宋体"/>
          <w:b/>
          <w:bCs/>
          <w:sz w:val="24"/>
        </w:rPr>
        <w:t>公告期限：自公告发布之日起5个工作日。</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textAlignment w:val="auto"/>
        <w:rPr>
          <w:rFonts w:ascii="宋体" w:hAnsi="宋体" w:cs="宋体"/>
          <w:b/>
          <w:bCs/>
          <w:sz w:val="24"/>
        </w:rPr>
      </w:pPr>
      <w:r>
        <w:rPr>
          <w:rFonts w:hint="eastAsia" w:ascii="宋体" w:hAnsi="宋体" w:cs="宋体"/>
          <w:b/>
          <w:bCs/>
          <w:sz w:val="24"/>
        </w:rPr>
        <w:t>投标报名</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ascii="宋体" w:hAnsi="宋体" w:cs="宋体"/>
          <w:sz w:val="24"/>
        </w:rPr>
      </w:pPr>
      <w:r>
        <w:rPr>
          <w:rFonts w:hint="eastAsia" w:ascii="宋体" w:hAnsi="宋体" w:cs="宋体"/>
          <w:b/>
          <w:bCs/>
          <w:sz w:val="24"/>
        </w:rPr>
        <w:t>1、报名与获取招标文件时间：</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ascii="宋体" w:hAnsi="宋体" w:cs="宋体"/>
          <w:sz w:val="24"/>
        </w:rPr>
      </w:pPr>
      <w:r>
        <w:rPr>
          <w:rFonts w:hint="eastAsia" w:ascii="宋体" w:hAnsi="宋体" w:cs="宋体"/>
          <w:b/>
          <w:bCs/>
          <w:sz w:val="24"/>
          <w:u w:val="thick"/>
        </w:rPr>
        <w:t>20</w:t>
      </w:r>
      <w:r>
        <w:rPr>
          <w:rFonts w:hint="eastAsia" w:ascii="宋体" w:hAnsi="宋体" w:cs="宋体"/>
          <w:b/>
          <w:bCs/>
          <w:sz w:val="24"/>
          <w:u w:val="thick"/>
          <w:lang w:val="en-US" w:eastAsia="zh-CN"/>
        </w:rPr>
        <w:t>21</w:t>
      </w:r>
      <w:r>
        <w:rPr>
          <w:rFonts w:hint="eastAsia" w:ascii="宋体" w:hAnsi="宋体" w:cs="宋体"/>
          <w:b/>
          <w:bCs/>
          <w:sz w:val="24"/>
          <w:u w:val="thick"/>
        </w:rPr>
        <w:t>年</w:t>
      </w:r>
      <w:r>
        <w:rPr>
          <w:rFonts w:hint="eastAsia" w:ascii="宋体" w:hAnsi="宋体" w:cs="宋体"/>
          <w:b/>
          <w:bCs/>
          <w:sz w:val="24"/>
          <w:u w:val="thick"/>
          <w:lang w:val="en-US" w:eastAsia="zh-CN"/>
        </w:rPr>
        <w:t>10</w:t>
      </w:r>
      <w:r>
        <w:rPr>
          <w:rFonts w:hint="eastAsia" w:ascii="宋体" w:hAnsi="宋体" w:cs="宋体"/>
          <w:b/>
          <w:bCs/>
          <w:sz w:val="24"/>
          <w:u w:val="thick"/>
        </w:rPr>
        <w:t>月</w:t>
      </w:r>
      <w:r>
        <w:rPr>
          <w:rFonts w:hint="eastAsia" w:ascii="宋体" w:hAnsi="宋体" w:cs="宋体"/>
          <w:b/>
          <w:bCs/>
          <w:sz w:val="24"/>
          <w:u w:val="thick"/>
          <w:lang w:val="en-US" w:eastAsia="zh-CN"/>
        </w:rPr>
        <w:t>8</w:t>
      </w:r>
      <w:r>
        <w:rPr>
          <w:rFonts w:hint="eastAsia" w:ascii="宋体" w:hAnsi="宋体" w:cs="宋体"/>
          <w:b/>
          <w:bCs/>
          <w:sz w:val="24"/>
          <w:u w:val="thick"/>
        </w:rPr>
        <w:t>日至20</w:t>
      </w:r>
      <w:r>
        <w:rPr>
          <w:rFonts w:hint="eastAsia" w:ascii="宋体" w:hAnsi="宋体" w:cs="宋体"/>
          <w:b/>
          <w:bCs/>
          <w:sz w:val="24"/>
          <w:u w:val="thick"/>
          <w:lang w:val="en-US" w:eastAsia="zh-CN"/>
        </w:rPr>
        <w:t>21</w:t>
      </w:r>
      <w:r>
        <w:rPr>
          <w:rFonts w:hint="eastAsia" w:ascii="宋体" w:hAnsi="宋体" w:cs="宋体"/>
          <w:b/>
          <w:bCs/>
          <w:sz w:val="24"/>
          <w:u w:val="thick"/>
        </w:rPr>
        <w:t>年</w:t>
      </w:r>
      <w:r>
        <w:rPr>
          <w:rFonts w:hint="eastAsia" w:ascii="宋体" w:hAnsi="宋体" w:cs="宋体"/>
          <w:b/>
          <w:bCs/>
          <w:sz w:val="24"/>
          <w:u w:val="thick"/>
          <w:lang w:val="en-US" w:eastAsia="zh-CN"/>
        </w:rPr>
        <w:t>10</w:t>
      </w:r>
      <w:r>
        <w:rPr>
          <w:rFonts w:hint="eastAsia" w:ascii="宋体" w:hAnsi="宋体" w:cs="宋体"/>
          <w:b/>
          <w:bCs/>
          <w:sz w:val="24"/>
          <w:u w:val="thick"/>
        </w:rPr>
        <w:t>月</w:t>
      </w:r>
      <w:r>
        <w:rPr>
          <w:rFonts w:hint="eastAsia" w:ascii="宋体" w:hAnsi="宋体" w:cs="宋体"/>
          <w:b/>
          <w:bCs/>
          <w:sz w:val="24"/>
          <w:u w:val="thick"/>
          <w:lang w:val="en-US" w:eastAsia="zh-CN"/>
        </w:rPr>
        <w:t>13</w:t>
      </w:r>
      <w:r>
        <w:rPr>
          <w:rFonts w:hint="eastAsia" w:ascii="宋体" w:hAnsi="宋体" w:cs="宋体"/>
          <w:b/>
          <w:bCs/>
          <w:sz w:val="24"/>
          <w:u w:val="thick"/>
        </w:rPr>
        <w:t>日</w:t>
      </w:r>
      <w:r>
        <w:rPr>
          <w:rFonts w:hint="eastAsia" w:ascii="宋体" w:hAnsi="宋体" w:cs="宋体"/>
          <w:sz w:val="24"/>
        </w:rPr>
        <w:t>（双休日及法定节假日除外）</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宋体" w:hAnsi="宋体" w:cs="宋体"/>
          <w:sz w:val="24"/>
        </w:rPr>
      </w:pPr>
      <w:r>
        <w:rPr>
          <w:rFonts w:hint="eastAsia" w:ascii="宋体" w:hAnsi="宋体" w:cs="宋体"/>
          <w:sz w:val="24"/>
        </w:rPr>
        <w:t>时间：上午：8：30-11：00，下午：13：30-16：30</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宋体"/>
          <w:sz w:val="24"/>
          <w:lang w:val="en-US" w:eastAsia="zh-CN"/>
        </w:rPr>
      </w:pPr>
      <w:r>
        <w:rPr>
          <w:rFonts w:hint="eastAsia" w:ascii="宋体" w:hAnsi="宋体" w:cs="宋体"/>
          <w:sz w:val="24"/>
        </w:rPr>
        <w:t>现场报名地点：杭州市余杭区南苑街道</w:t>
      </w:r>
      <w:r>
        <w:rPr>
          <w:rFonts w:hint="eastAsia" w:ascii="宋体" w:hAnsi="宋体" w:cs="宋体"/>
          <w:sz w:val="24"/>
          <w:lang w:eastAsia="zh-CN"/>
        </w:rPr>
        <w:t>嘉信国际</w:t>
      </w:r>
      <w:r>
        <w:rPr>
          <w:rFonts w:hint="eastAsia" w:ascii="宋体" w:hAnsi="宋体" w:cs="宋体"/>
          <w:sz w:val="24"/>
          <w:lang w:val="en-US" w:eastAsia="zh-CN"/>
        </w:rPr>
        <w:t>6</w:t>
      </w:r>
      <w:r>
        <w:rPr>
          <w:rFonts w:hint="eastAsia" w:ascii="宋体" w:hAnsi="宋体" w:cs="宋体"/>
          <w:sz w:val="24"/>
        </w:rPr>
        <w:t>楼。联系电话：</w:t>
      </w:r>
      <w:r>
        <w:rPr>
          <w:rFonts w:hint="eastAsia" w:ascii="宋体" w:hAnsi="宋体" w:cs="宋体"/>
          <w:sz w:val="24"/>
          <w:lang w:val="en-US" w:eastAsia="zh-CN"/>
        </w:rPr>
        <w:t>13606817607</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ascii="宋体" w:hAnsi="宋体" w:cs="宋体"/>
          <w:b/>
          <w:bCs/>
          <w:sz w:val="24"/>
        </w:rPr>
      </w:pPr>
      <w:r>
        <w:rPr>
          <w:rFonts w:hint="eastAsia" w:ascii="宋体" w:hAnsi="宋体" w:cs="宋体"/>
          <w:b/>
          <w:bCs/>
          <w:sz w:val="24"/>
        </w:rPr>
        <w:t>2、领取招标文件时应提供以下资料（均须加盖公章）：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2.1、企业法人营业执照副本原件及复印件；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宋体" w:hAnsi="宋体" w:cs="宋体"/>
          <w:sz w:val="24"/>
        </w:rPr>
      </w:pPr>
      <w:r>
        <w:rPr>
          <w:rFonts w:hint="eastAsia" w:ascii="宋体" w:hAnsi="宋体" w:cs="宋体"/>
          <w:sz w:val="24"/>
        </w:rPr>
        <w:t>2.2、法定代表人授权委托书原件；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2.3、授权代表有效身份证件原件及复印件；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宋体" w:hAnsi="宋体" w:cs="宋体"/>
          <w:sz w:val="24"/>
        </w:rPr>
      </w:pPr>
      <w:r>
        <w:rPr>
          <w:rFonts w:hint="eastAsia" w:ascii="宋体" w:hAnsi="宋体" w:cs="宋体"/>
          <w:sz w:val="24"/>
        </w:rPr>
        <w:t>注：报名需法人代表或其授权委托人本人前来。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宋体" w:hAnsi="宋体" w:cs="宋体"/>
          <w:sz w:val="24"/>
        </w:rPr>
      </w:pPr>
      <w:r>
        <w:rPr>
          <w:rFonts w:hint="eastAsia" w:ascii="宋体" w:hAnsi="宋体" w:cs="宋体"/>
          <w:sz w:val="24"/>
        </w:rPr>
        <w:t>本项目投标人的资格仍需接受招标人审查。投标人应在投标文件中按招标文件的规定和要求附上所有的资格证明文件，要求提供的复印件必须加盖单位公章，并在必要时提供原件备查。</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lang w:val="en-US" w:eastAsia="zh-CN"/>
        </w:rPr>
      </w:pPr>
      <w:r>
        <w:rPr>
          <w:rFonts w:hint="eastAsia" w:ascii="宋体" w:hAnsi="宋体" w:cs="宋体"/>
          <w:b/>
          <w:bCs/>
          <w:sz w:val="24"/>
        </w:rPr>
        <w:t>3、招标文件获取方式：</w:t>
      </w:r>
      <w:r>
        <w:rPr>
          <w:rFonts w:hint="eastAsia" w:ascii="宋体" w:hAnsi="宋体" w:cs="宋体"/>
          <w:sz w:val="24"/>
        </w:rPr>
        <w:t>报名现场获取。</w:t>
      </w:r>
    </w:p>
    <w:p>
      <w:pPr>
        <w:pStyle w:val="26"/>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eastAsia="宋体" w:cs="宋体"/>
          <w:b/>
          <w:bCs/>
          <w:sz w:val="24"/>
        </w:rPr>
      </w:pPr>
      <w:r>
        <w:rPr>
          <w:rFonts w:hint="eastAsia" w:ascii="宋体" w:hAnsi="宋体" w:eastAsia="宋体" w:cs="宋体"/>
          <w:b/>
          <w:bCs/>
          <w:sz w:val="24"/>
          <w:szCs w:val="24"/>
          <w:lang w:eastAsia="zh-CN"/>
        </w:rPr>
        <w:t>八</w:t>
      </w:r>
      <w:r>
        <w:rPr>
          <w:rFonts w:hint="eastAsia" w:ascii="宋体" w:hAnsi="宋体" w:eastAsia="宋体" w:cs="宋体"/>
          <w:b/>
          <w:bCs/>
          <w:sz w:val="24"/>
        </w:rPr>
        <w:t>、投标截止时间与地点（逾期送达或未密封将予以拒收）：</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default" w:ascii="宋体" w:hAnsi="宋体" w:eastAsia="宋体" w:cs="宋体"/>
          <w:b/>
          <w:sz w:val="24"/>
          <w:u w:val="thick"/>
          <w:lang w:val="en-US" w:eastAsia="zh-CN"/>
        </w:rPr>
      </w:pPr>
      <w:bookmarkStart w:id="4" w:name="bidEndDate"/>
      <w:bookmarkEnd w:id="4"/>
      <w:r>
        <w:rPr>
          <w:rFonts w:hint="eastAsia" w:ascii="宋体" w:hAnsi="宋体" w:cs="宋体"/>
          <w:b/>
          <w:sz w:val="24"/>
          <w:u w:val="thick"/>
        </w:rPr>
        <w:t>20</w:t>
      </w:r>
      <w:r>
        <w:rPr>
          <w:rFonts w:hint="eastAsia" w:ascii="宋体" w:hAnsi="宋体" w:cs="宋体"/>
          <w:b/>
          <w:sz w:val="24"/>
          <w:u w:val="thick"/>
          <w:lang w:val="en-US" w:eastAsia="zh-CN"/>
        </w:rPr>
        <w:t>21</w:t>
      </w:r>
      <w:r>
        <w:rPr>
          <w:rFonts w:hint="eastAsia" w:ascii="宋体" w:hAnsi="宋体" w:cs="宋体"/>
          <w:b/>
          <w:sz w:val="24"/>
          <w:u w:val="thick"/>
        </w:rPr>
        <w:t>年</w:t>
      </w:r>
      <w:r>
        <w:rPr>
          <w:rFonts w:hint="eastAsia" w:ascii="宋体" w:hAnsi="宋体" w:cs="宋体"/>
          <w:b/>
          <w:sz w:val="24"/>
          <w:u w:val="thick"/>
          <w:lang w:val="en-US" w:eastAsia="zh-CN"/>
        </w:rPr>
        <w:t>10</w:t>
      </w:r>
      <w:r>
        <w:rPr>
          <w:rFonts w:hint="eastAsia" w:ascii="宋体" w:hAnsi="宋体" w:cs="宋体"/>
          <w:b/>
          <w:sz w:val="24"/>
          <w:u w:val="thick"/>
        </w:rPr>
        <w:t>月</w:t>
      </w:r>
      <w:r>
        <w:rPr>
          <w:rFonts w:hint="eastAsia" w:ascii="宋体" w:hAnsi="宋体" w:cs="宋体"/>
          <w:b/>
          <w:sz w:val="24"/>
          <w:u w:val="thick"/>
          <w:lang w:val="en-US" w:eastAsia="zh-CN"/>
        </w:rPr>
        <w:t>28</w:t>
      </w:r>
      <w:r>
        <w:rPr>
          <w:rFonts w:hint="eastAsia" w:ascii="宋体" w:hAnsi="宋体" w:cs="宋体"/>
          <w:b/>
          <w:sz w:val="24"/>
          <w:u w:val="thick"/>
        </w:rPr>
        <w:t>日</w:t>
      </w:r>
      <w:r>
        <w:rPr>
          <w:rFonts w:hint="eastAsia" w:ascii="宋体" w:hAnsi="宋体" w:cs="宋体"/>
          <w:b/>
          <w:sz w:val="24"/>
          <w:u w:val="thick"/>
          <w:lang w:val="en-US" w:eastAsia="zh-CN"/>
        </w:rPr>
        <w:t>10</w:t>
      </w:r>
      <w:r>
        <w:rPr>
          <w:rFonts w:hint="eastAsia" w:ascii="宋体" w:hAnsi="宋体" w:cs="宋体"/>
          <w:b/>
          <w:sz w:val="24"/>
          <w:u w:val="thick"/>
        </w:rPr>
        <w:t>:</w:t>
      </w:r>
      <w:r>
        <w:rPr>
          <w:rFonts w:hint="eastAsia" w:ascii="宋体" w:hAnsi="宋体" w:cs="宋体"/>
          <w:b/>
          <w:sz w:val="24"/>
          <w:u w:val="thick"/>
          <w:lang w:val="en-US" w:eastAsia="zh-CN"/>
        </w:rPr>
        <w:t>00</w:t>
      </w:r>
    </w:p>
    <w:p>
      <w:pPr>
        <w:keepNext w:val="0"/>
        <w:keepLines w:val="0"/>
        <w:pageBreakBefore w:val="0"/>
        <w:widowControl w:val="0"/>
        <w:kinsoku/>
        <w:wordWrap/>
        <w:overflowPunct/>
        <w:topLinePunct w:val="0"/>
        <w:autoSpaceDE/>
        <w:autoSpaceDN/>
        <w:bidi w:val="0"/>
        <w:adjustRightInd w:val="0"/>
        <w:snapToGrid w:val="0"/>
        <w:spacing w:line="440" w:lineRule="exact"/>
        <w:ind w:firstLine="241" w:firstLineChars="100"/>
        <w:textAlignment w:val="auto"/>
        <w:rPr>
          <w:rFonts w:hint="default" w:ascii="宋体" w:hAnsi="宋体" w:cs="宋体"/>
          <w:b/>
          <w:bCs/>
          <w:sz w:val="24"/>
          <w:highlight w:val="red"/>
          <w:lang w:val="en-US" w:eastAsia="zh-CN"/>
        </w:rPr>
      </w:pPr>
      <w:r>
        <w:rPr>
          <w:rFonts w:hint="default" w:ascii="宋体" w:hAnsi="宋体" w:cs="宋体"/>
          <w:b/>
          <w:bCs/>
          <w:sz w:val="24"/>
          <w:highlight w:val="red"/>
          <w:lang w:val="en-US" w:eastAsia="zh-CN"/>
        </w:rPr>
        <w:t>瓶窑镇羊城路77号瓶窑商城5楼516室（吴江生活超市旁观光电梯上五楼）</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 w:val="24"/>
        </w:rPr>
      </w:pPr>
      <w:r>
        <w:rPr>
          <w:rFonts w:hint="eastAsia" w:ascii="宋体" w:hAnsi="宋体" w:cs="宋体"/>
          <w:b/>
          <w:bCs/>
          <w:sz w:val="24"/>
          <w:lang w:eastAsia="zh-CN"/>
        </w:rPr>
        <w:t>九</w:t>
      </w:r>
      <w:r>
        <w:rPr>
          <w:rFonts w:hint="eastAsia" w:ascii="宋体" w:hAnsi="宋体" w:cs="宋体"/>
          <w:b/>
          <w:bCs/>
          <w:sz w:val="24"/>
        </w:rPr>
        <w:t>、开标时间与地点（投标人代表携带本人有效身份证件出席开标会议）：</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sz w:val="24"/>
          <w:u w:val="thick"/>
          <w:lang w:val="en-US" w:eastAsia="zh-CN"/>
        </w:rPr>
      </w:pPr>
      <w:bookmarkStart w:id="5" w:name="openDate"/>
      <w:bookmarkEnd w:id="5"/>
      <w:r>
        <w:rPr>
          <w:rFonts w:hint="eastAsia" w:ascii="宋体" w:hAnsi="宋体" w:cs="宋体"/>
          <w:b/>
          <w:sz w:val="24"/>
          <w:u w:val="thick"/>
        </w:rPr>
        <w:t>20</w:t>
      </w:r>
      <w:r>
        <w:rPr>
          <w:rFonts w:hint="eastAsia" w:ascii="宋体" w:hAnsi="宋体" w:cs="宋体"/>
          <w:b/>
          <w:sz w:val="24"/>
          <w:u w:val="thick"/>
          <w:lang w:val="en-US" w:eastAsia="zh-CN"/>
        </w:rPr>
        <w:t>21</w:t>
      </w:r>
      <w:r>
        <w:rPr>
          <w:rFonts w:hint="eastAsia" w:ascii="宋体" w:hAnsi="宋体" w:cs="宋体"/>
          <w:b/>
          <w:sz w:val="24"/>
          <w:u w:val="thick"/>
        </w:rPr>
        <w:t>年</w:t>
      </w:r>
      <w:r>
        <w:rPr>
          <w:rFonts w:hint="eastAsia" w:ascii="宋体" w:hAnsi="宋体" w:cs="宋体"/>
          <w:b/>
          <w:sz w:val="24"/>
          <w:u w:val="thick"/>
          <w:lang w:val="en-US" w:eastAsia="zh-CN"/>
        </w:rPr>
        <w:t>10</w:t>
      </w:r>
      <w:r>
        <w:rPr>
          <w:rFonts w:hint="eastAsia" w:ascii="宋体" w:hAnsi="宋体" w:cs="宋体"/>
          <w:b/>
          <w:sz w:val="24"/>
          <w:u w:val="thick"/>
        </w:rPr>
        <w:t>月</w:t>
      </w:r>
      <w:r>
        <w:rPr>
          <w:rFonts w:hint="eastAsia" w:ascii="宋体" w:hAnsi="宋体" w:cs="宋体"/>
          <w:b/>
          <w:sz w:val="24"/>
          <w:u w:val="thick"/>
          <w:lang w:val="en-US" w:eastAsia="zh-CN"/>
        </w:rPr>
        <w:t>28</w:t>
      </w:r>
      <w:r>
        <w:rPr>
          <w:rFonts w:hint="eastAsia" w:ascii="宋体" w:hAnsi="宋体" w:cs="宋体"/>
          <w:b/>
          <w:sz w:val="24"/>
          <w:u w:val="thick"/>
        </w:rPr>
        <w:t>日</w:t>
      </w:r>
      <w:r>
        <w:rPr>
          <w:rFonts w:hint="eastAsia" w:ascii="宋体" w:hAnsi="宋体" w:cs="宋体"/>
          <w:b/>
          <w:sz w:val="24"/>
          <w:u w:val="thick"/>
          <w:lang w:val="en-US" w:eastAsia="zh-CN"/>
        </w:rPr>
        <w:t>10</w:t>
      </w:r>
      <w:r>
        <w:rPr>
          <w:rFonts w:hint="eastAsia" w:ascii="宋体" w:hAnsi="宋体" w:cs="宋体"/>
          <w:b/>
          <w:sz w:val="24"/>
          <w:u w:val="thick"/>
        </w:rPr>
        <w:t>:</w:t>
      </w:r>
      <w:r>
        <w:rPr>
          <w:rFonts w:hint="eastAsia" w:ascii="宋体" w:hAnsi="宋体" w:cs="宋体"/>
          <w:b/>
          <w:sz w:val="24"/>
          <w:u w:val="thick"/>
          <w:lang w:val="en-US" w:eastAsia="zh-CN"/>
        </w:rPr>
        <w:t>00</w:t>
      </w:r>
    </w:p>
    <w:p>
      <w:pPr>
        <w:keepNext w:val="0"/>
        <w:keepLines w:val="0"/>
        <w:pageBreakBefore w:val="0"/>
        <w:widowControl w:val="0"/>
        <w:kinsoku/>
        <w:wordWrap/>
        <w:overflowPunct/>
        <w:topLinePunct w:val="0"/>
        <w:autoSpaceDE/>
        <w:autoSpaceDN/>
        <w:bidi w:val="0"/>
        <w:adjustRightInd w:val="0"/>
        <w:snapToGrid w:val="0"/>
        <w:spacing w:line="440" w:lineRule="exact"/>
        <w:ind w:firstLine="241" w:firstLineChars="100"/>
        <w:textAlignment w:val="auto"/>
        <w:rPr>
          <w:rFonts w:hint="eastAsia" w:ascii="宋体" w:hAnsi="宋体" w:cs="宋体"/>
          <w:b/>
          <w:bCs/>
          <w:sz w:val="24"/>
          <w:lang w:eastAsia="zh-CN"/>
        </w:rPr>
      </w:pPr>
      <w:r>
        <w:rPr>
          <w:rFonts w:hint="eastAsia" w:ascii="宋体" w:hAnsi="宋体" w:cs="宋体"/>
          <w:b/>
          <w:bCs/>
          <w:sz w:val="24"/>
          <w:highlight w:val="red"/>
          <w:lang w:val="en-US" w:eastAsia="zh-CN"/>
        </w:rPr>
        <w:t>瓶窑镇羊城路77号瓶窑商城5楼516室（吴江生活超市旁观光电梯上五楼）</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cs="宋体"/>
          <w:b/>
          <w:bCs/>
          <w:sz w:val="24"/>
        </w:rPr>
      </w:pPr>
      <w:r>
        <w:rPr>
          <w:rFonts w:hint="eastAsia" w:ascii="宋体" w:hAnsi="宋体" w:cs="宋体"/>
          <w:b/>
          <w:bCs/>
          <w:sz w:val="24"/>
        </w:rPr>
        <w:t>十、质疑和投诉：</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1、质疑事项：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（1）、投标人如认为招标公告信息使自身的合法权益受到损害的，应于自招标公告发布之日起七个工作日内以书面形式向采购代理机构提出质疑。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（3）、投标人如认为采购过程使自身的合法权益受到损害的，应于自各采购程序环节结束之日起七个工作日内，以书面形式向采购代理机构提出质疑。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（4）、投标人如认为中标结果使自身的合法权益受到损害的，应于自中标结果公告期限（公告期限为1个工作日）届满之日起七个工作日内，以书面形式向采购代理机构提出质疑。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2、投标人提出质疑应当提交质疑函的和必要的证明材料，政府采购供应商质疑函范本下载地址:http://gks.mof.gov.cn/,质疑函应当包括下列内容: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(一) 供应商的姓名或者名称、地址、邮编、联系人及联系电话；</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(二) 质疑项目的名称、编号；</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(三) 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(四) 事实依据；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(五) 必要的法律依据；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(六) 提出质疑的日期。</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投标人为自然人的，应当由本人签字；投标人为法人或者其他组织的，应当由法定代表人、主要负责人，或者其授权代表签字或者盖章，并加盖公章。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质疑受理地点：</w:t>
      </w:r>
      <w:r>
        <w:rPr>
          <w:rFonts w:hint="eastAsia" w:ascii="宋体" w:hAnsi="宋体" w:cs="宋体"/>
          <w:sz w:val="24"/>
          <w:lang w:eastAsia="zh-CN"/>
        </w:rPr>
        <w:t>浙江中际工程项目管理有限公司</w:t>
      </w:r>
      <w:r>
        <w:rPr>
          <w:rFonts w:hint="eastAsia" w:ascii="宋体" w:hAnsi="宋体" w:cs="宋体"/>
          <w:sz w:val="24"/>
        </w:rPr>
        <w:t>（余杭区南苑街道</w:t>
      </w:r>
      <w:r>
        <w:rPr>
          <w:rFonts w:hint="eastAsia" w:ascii="宋体" w:hAnsi="宋体" w:cs="宋体"/>
          <w:sz w:val="24"/>
          <w:lang w:eastAsia="zh-CN"/>
        </w:rPr>
        <w:t>嘉信国际</w:t>
      </w:r>
      <w:r>
        <w:rPr>
          <w:rFonts w:hint="eastAsia" w:ascii="宋体" w:hAnsi="宋体" w:cs="宋体"/>
          <w:sz w:val="24"/>
          <w:lang w:val="en-US" w:eastAsia="zh-CN"/>
        </w:rPr>
        <w:t>6</w:t>
      </w:r>
      <w:r>
        <w:rPr>
          <w:rFonts w:hint="eastAsia" w:ascii="宋体" w:hAnsi="宋体" w:cs="宋体"/>
          <w:sz w:val="24"/>
        </w:rPr>
        <w:t>楼）。</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3、提出质疑的供应商应当是参与本项招标活动的投标人，在法定质疑明内应一次性提出针对同一采购程序环节的质疑。</w:t>
      </w:r>
    </w:p>
    <w:p>
      <w:pPr>
        <w:adjustRightInd w:val="0"/>
        <w:snapToGrid w:val="0"/>
        <w:spacing w:line="440" w:lineRule="exact"/>
        <w:ind w:firstLine="480" w:firstLineChars="200"/>
        <w:rPr>
          <w:rFonts w:hint="eastAsia" w:ascii="宋体" w:hAnsi="宋体" w:cs="宋体"/>
          <w:b w:val="0"/>
          <w:bCs w:val="0"/>
          <w:sz w:val="24"/>
        </w:rPr>
      </w:pPr>
      <w:r>
        <w:rPr>
          <w:rFonts w:hint="eastAsia" w:ascii="宋体" w:hAnsi="宋体" w:cs="宋体"/>
          <w:sz w:val="24"/>
          <w:lang w:val="en-US" w:eastAsia="zh-CN"/>
        </w:rPr>
        <w:t>4</w:t>
      </w:r>
      <w:r>
        <w:rPr>
          <w:rFonts w:hint="eastAsia" w:ascii="宋体" w:hAnsi="宋体" w:cs="宋体"/>
          <w:sz w:val="24"/>
        </w:rPr>
        <w:t>、投诉事项：投标人对采购代理机构的质疑答复不满意或者采购代理机构未在规定时间内作出答复的，可以在答复期满后十五个工作日内向同级政府采购监督管理部门余杭区财政局采购监管科投诉，联系电话为0571-89180113。</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cs="宋体"/>
          <w:b/>
          <w:bCs/>
          <w:sz w:val="24"/>
          <w:lang w:val="en-US" w:eastAsia="zh-CN"/>
        </w:rPr>
      </w:pPr>
      <w:r>
        <w:rPr>
          <w:rFonts w:hint="eastAsia" w:ascii="宋体" w:hAnsi="宋体" w:cs="宋体"/>
          <w:b/>
          <w:bCs/>
          <w:sz w:val="24"/>
          <w:lang w:val="en-US" w:eastAsia="zh-CN"/>
        </w:rPr>
        <w:t>十一、联系方式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宋体"/>
          <w:sz w:val="24"/>
          <w:lang w:val="en-US" w:eastAsia="zh-CN"/>
        </w:rPr>
      </w:pPr>
      <w:r>
        <w:rPr>
          <w:rFonts w:hint="eastAsia" w:ascii="宋体" w:hAnsi="宋体" w:cs="宋体"/>
          <w:sz w:val="24"/>
          <w:lang w:val="en-US" w:eastAsia="zh-CN"/>
        </w:rPr>
        <w:t>1、采购人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lang w:eastAsia="zh-CN"/>
        </w:rPr>
      </w:pPr>
      <w:r>
        <w:rPr>
          <w:rFonts w:hint="eastAsia" w:ascii="宋体" w:hAnsi="宋体" w:cs="宋体"/>
          <w:sz w:val="24"/>
        </w:rPr>
        <w:t>采购人名称：</w:t>
      </w:r>
      <w:r>
        <w:rPr>
          <w:rFonts w:hint="eastAsia" w:ascii="宋体" w:hAnsi="宋体" w:cs="宋体"/>
          <w:sz w:val="24"/>
          <w:lang w:eastAsia="zh-CN"/>
        </w:rPr>
        <w:t>杭州市余杭区瓶窑镇华兴社区居委会</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地址：</w:t>
      </w:r>
      <w:r>
        <w:rPr>
          <w:rFonts w:hint="eastAsia" w:ascii="宋体" w:hAnsi="宋体" w:cs="宋体"/>
          <w:color w:val="000000"/>
          <w:kern w:val="0"/>
          <w:sz w:val="24"/>
          <w:u w:val="none"/>
          <w:lang w:val="en-US" w:eastAsia="zh-CN"/>
        </w:rPr>
        <w:t xml:space="preserve">杭州市余杭区 </w:t>
      </w:r>
      <w:r>
        <w:rPr>
          <w:rFonts w:hint="eastAsia" w:ascii="宋体" w:hAnsi="宋体" w:cs="宋体"/>
          <w:sz w:val="24"/>
        </w:rPr>
        <w:t>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宋体"/>
          <w:sz w:val="24"/>
          <w:lang w:val="en-US" w:eastAsia="zh-CN"/>
        </w:rPr>
      </w:pPr>
      <w:r>
        <w:rPr>
          <w:rFonts w:hint="eastAsia" w:ascii="宋体" w:hAnsi="宋体" w:cs="宋体"/>
          <w:sz w:val="24"/>
          <w:highlight w:val="none"/>
        </w:rPr>
        <w:t>项目联系人姓名：</w:t>
      </w:r>
      <w:r>
        <w:rPr>
          <w:rFonts w:hint="eastAsia" w:ascii="宋体" w:hAnsi="宋体" w:cs="宋体"/>
          <w:color w:val="000000"/>
          <w:sz w:val="24"/>
          <w:highlight w:val="none"/>
          <w:lang w:val="en-US" w:eastAsia="zh-CN"/>
        </w:rPr>
        <w:t xml:space="preserve">周主任  </w:t>
      </w:r>
      <w:r>
        <w:rPr>
          <w:rFonts w:hint="eastAsia" w:ascii="宋体" w:hAnsi="宋体" w:cs="宋体"/>
          <w:sz w:val="24"/>
          <w:highlight w:val="none"/>
          <w:lang w:eastAsia="zh-CN"/>
        </w:rPr>
        <w:t>，电话：</w:t>
      </w:r>
      <w:r>
        <w:rPr>
          <w:rFonts w:hint="eastAsia" w:ascii="宋体" w:hAnsi="宋体" w:cs="宋体"/>
          <w:sz w:val="24"/>
          <w:highlight w:val="none"/>
          <w:lang w:val="en-US" w:eastAsia="zh-CN"/>
        </w:rPr>
        <w:t>13429666959</w:t>
      </w:r>
      <w:r>
        <w:rPr>
          <w:rFonts w:hint="eastAsia" w:ascii="宋体" w:hAnsi="宋体" w:cs="宋体"/>
          <w:color w:val="000000"/>
          <w:sz w:val="24"/>
          <w:highlight w:val="none"/>
          <w:lang w:val="en-US" w:eastAsia="zh-CN"/>
        </w:rPr>
        <w:t xml:space="preserve"> </w:t>
      </w:r>
      <w:r>
        <w:rPr>
          <w:rFonts w:hint="eastAsia" w:ascii="宋体" w:hAnsi="宋体" w:cs="宋体"/>
          <w:sz w:val="24"/>
          <w:highlight w:val="none"/>
          <w:lang w:val="en-US" w:eastAsia="zh-CN"/>
        </w:rPr>
        <w:t xml:space="preserve">  </w:t>
      </w:r>
      <w:r>
        <w:rPr>
          <w:rFonts w:hint="eastAsia" w:ascii="宋体" w:hAnsi="宋体" w:cs="宋体"/>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2、采购代理机构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采购代理机构名称：</w:t>
      </w:r>
      <w:r>
        <w:rPr>
          <w:rFonts w:hint="eastAsia" w:ascii="宋体" w:hAnsi="宋体" w:cs="宋体"/>
          <w:sz w:val="24"/>
          <w:lang w:eastAsia="zh-CN"/>
        </w:rPr>
        <w:t>浙江中际工程项目管理有限公司</w:t>
      </w:r>
      <w:r>
        <w:rPr>
          <w:rFonts w:hint="eastAsia" w:ascii="宋体" w:hAnsi="宋体" w:cs="宋体"/>
          <w:sz w:val="24"/>
        </w:rPr>
        <w:t>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地址：</w:t>
      </w:r>
      <w:r>
        <w:rPr>
          <w:rFonts w:hint="eastAsia" w:ascii="宋体" w:hAnsi="宋体" w:cs="宋体"/>
          <w:sz w:val="24"/>
          <w:lang w:eastAsia="zh-CN"/>
        </w:rPr>
        <w:t>余杭区南苑街道嘉信国际</w:t>
      </w:r>
      <w:r>
        <w:rPr>
          <w:rFonts w:hint="eastAsia" w:ascii="宋体" w:hAnsi="宋体" w:cs="宋体"/>
          <w:sz w:val="24"/>
          <w:lang w:val="en-US" w:eastAsia="zh-CN"/>
        </w:rPr>
        <w:t>6楼</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项目联系人姓名：</w:t>
      </w:r>
      <w:r>
        <w:rPr>
          <w:rFonts w:hint="eastAsia" w:ascii="宋体" w:hAnsi="宋体" w:cs="宋体"/>
          <w:sz w:val="24"/>
          <w:lang w:eastAsia="zh-CN"/>
        </w:rPr>
        <w:t>莫佳钦</w:t>
      </w:r>
      <w:r>
        <w:rPr>
          <w:rFonts w:hint="eastAsia" w:ascii="宋体" w:hAnsi="宋体" w:cs="宋体"/>
          <w:sz w:val="24"/>
        </w:rPr>
        <w:t>，电话：</w:t>
      </w:r>
      <w:r>
        <w:rPr>
          <w:rFonts w:hint="eastAsia" w:ascii="宋体" w:hAnsi="宋体" w:cs="宋体"/>
          <w:sz w:val="24"/>
          <w:lang w:val="en-US" w:eastAsia="zh-CN"/>
        </w:rPr>
        <w:t>13606817607</w:t>
      </w:r>
    </w:p>
    <w:p>
      <w:pPr>
        <w:rPr>
          <w:rFonts w:hint="eastAsia" w:ascii="宋体" w:hAnsi="宋体" w:eastAsia="宋体" w:cs="宋体"/>
          <w:sz w:val="40"/>
          <w:szCs w:val="40"/>
        </w:rPr>
      </w:pPr>
      <w:r>
        <w:rPr>
          <w:rFonts w:hint="eastAsia" w:ascii="宋体" w:hAnsi="宋体" w:eastAsia="宋体" w:cs="宋体"/>
          <w:sz w:val="40"/>
          <w:szCs w:val="40"/>
        </w:rPr>
        <w:br w:type="page"/>
      </w:r>
    </w:p>
    <w:p>
      <w:pPr>
        <w:pStyle w:val="23"/>
        <w:spacing w:line="360" w:lineRule="auto"/>
        <w:rPr>
          <w:rFonts w:ascii="宋体" w:hAnsi="宋体" w:eastAsia="宋体" w:cs="宋体"/>
          <w:sz w:val="40"/>
          <w:szCs w:val="40"/>
        </w:rPr>
      </w:pPr>
      <w:r>
        <w:rPr>
          <w:rFonts w:hint="eastAsia" w:ascii="宋体" w:hAnsi="宋体" w:eastAsia="宋体" w:cs="宋体"/>
          <w:sz w:val="40"/>
          <w:szCs w:val="40"/>
        </w:rPr>
        <w:t>第二部分 投标人须知</w:t>
      </w:r>
      <w:bookmarkEnd w:id="2"/>
      <w:bookmarkEnd w:id="3"/>
    </w:p>
    <w:p>
      <w:pPr>
        <w:adjustRightInd w:val="0"/>
        <w:snapToGrid w:val="0"/>
        <w:spacing w:line="440" w:lineRule="exact"/>
        <w:jc w:val="center"/>
        <w:rPr>
          <w:rFonts w:ascii="宋体" w:hAnsi="宋体" w:cs="宋体"/>
          <w:b/>
          <w:bCs/>
          <w:sz w:val="24"/>
        </w:rPr>
      </w:pPr>
      <w:r>
        <w:rPr>
          <w:rFonts w:hint="eastAsia" w:ascii="宋体" w:hAnsi="宋体" w:cs="宋体"/>
          <w:b/>
          <w:bCs/>
          <w:sz w:val="24"/>
        </w:rPr>
        <w:t>前附表</w:t>
      </w:r>
    </w:p>
    <w:tbl>
      <w:tblPr>
        <w:tblStyle w:val="18"/>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69"/>
        <w:gridCol w:w="7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kern w:val="0"/>
                <w:sz w:val="24"/>
              </w:rPr>
            </w:pPr>
            <w:r>
              <w:rPr>
                <w:rFonts w:hint="eastAsia" w:ascii="宋体" w:hAnsi="宋体" w:cs="宋体"/>
                <w:b/>
                <w:kern w:val="0"/>
                <w:sz w:val="24"/>
              </w:rPr>
              <w:t>序号</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kern w:val="0"/>
                <w:sz w:val="24"/>
              </w:rPr>
            </w:pPr>
            <w:r>
              <w:rPr>
                <w:rFonts w:hint="eastAsia" w:ascii="宋体" w:hAnsi="宋体" w:cs="宋体"/>
                <w:b/>
                <w:kern w:val="0"/>
                <w:sz w:val="24"/>
              </w:rPr>
              <w:t>名   目</w:t>
            </w:r>
          </w:p>
        </w:tc>
        <w:tc>
          <w:tcPr>
            <w:tcW w:w="7249"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宋体" w:hAnsi="宋体" w:cs="宋体"/>
                <w:b/>
                <w:kern w:val="0"/>
                <w:sz w:val="24"/>
              </w:rPr>
            </w:pPr>
            <w:r>
              <w:rPr>
                <w:rFonts w:hint="eastAsia" w:ascii="宋体" w:hAnsi="宋体" w:cs="宋体"/>
                <w:b/>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ind w:firstLine="240" w:firstLineChars="100"/>
              <w:rPr>
                <w:rFonts w:ascii="宋体" w:hAnsi="宋体" w:cs="宋体"/>
                <w:kern w:val="0"/>
                <w:sz w:val="24"/>
              </w:rPr>
            </w:pPr>
            <w:r>
              <w:rPr>
                <w:rFonts w:hint="eastAsia" w:ascii="宋体" w:hAnsi="宋体" w:cs="宋体"/>
                <w:kern w:val="0"/>
                <w:sz w:val="24"/>
              </w:rPr>
              <w:t>1</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kern w:val="0"/>
                <w:sz w:val="24"/>
              </w:rPr>
            </w:pPr>
            <w:r>
              <w:rPr>
                <w:rFonts w:hint="eastAsia" w:ascii="宋体" w:hAnsi="宋体" w:cs="宋体"/>
                <w:kern w:val="0"/>
                <w:sz w:val="24"/>
              </w:rPr>
              <w:t>项目名称</w:t>
            </w:r>
          </w:p>
        </w:tc>
        <w:tc>
          <w:tcPr>
            <w:tcW w:w="724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kern w:val="0"/>
                <w:sz w:val="24"/>
                <w:lang w:eastAsia="zh-CN"/>
              </w:rPr>
            </w:pPr>
            <w:r>
              <w:rPr>
                <w:rFonts w:hint="eastAsia" w:ascii="宋体" w:hAnsi="宋体" w:cs="宋体"/>
                <w:b/>
                <w:bCs/>
                <w:sz w:val="24"/>
                <w:lang w:eastAsia="zh-CN"/>
              </w:rPr>
              <w:t>瓶窑华兴社区垃圾集置点（收集点）采购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kern w:val="0"/>
                <w:sz w:val="24"/>
              </w:rPr>
            </w:pPr>
            <w:r>
              <w:rPr>
                <w:rFonts w:hint="eastAsia" w:ascii="宋体" w:hAnsi="宋体" w:cs="宋体"/>
                <w:kern w:val="0"/>
                <w:sz w:val="24"/>
              </w:rPr>
              <w:t>2</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kern w:val="0"/>
                <w:sz w:val="24"/>
              </w:rPr>
            </w:pPr>
            <w:r>
              <w:rPr>
                <w:rFonts w:hint="eastAsia" w:ascii="宋体" w:hAnsi="宋体" w:cs="宋体"/>
                <w:kern w:val="0"/>
                <w:sz w:val="24"/>
              </w:rPr>
              <w:t>项目编号</w:t>
            </w:r>
          </w:p>
        </w:tc>
        <w:tc>
          <w:tcPr>
            <w:tcW w:w="724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kern w:val="0"/>
                <w:sz w:val="24"/>
                <w:lang w:eastAsia="zh-CN"/>
              </w:rPr>
            </w:pPr>
            <w:r>
              <w:rPr>
                <w:rFonts w:hint="eastAsia" w:ascii="宋体" w:hAnsi="宋体" w:cs="宋体"/>
                <w:sz w:val="24"/>
                <w:lang w:eastAsia="zh-CN"/>
              </w:rPr>
              <w:t xml:space="preserve">ZJDL-2021-其他001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投标有效期</w:t>
            </w:r>
          </w:p>
        </w:tc>
        <w:tc>
          <w:tcPr>
            <w:tcW w:w="724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sz w:val="24"/>
              </w:rPr>
            </w:pPr>
            <w:r>
              <w:rPr>
                <w:rFonts w:hint="eastAsia" w:ascii="宋体" w:hAnsi="宋体" w:cs="宋体"/>
                <w:sz w:val="24"/>
              </w:rPr>
              <w:t>投标文件递交后60天内有效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投标文件份数</w:t>
            </w:r>
          </w:p>
        </w:tc>
        <w:tc>
          <w:tcPr>
            <w:tcW w:w="7249"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40" w:lineRule="exact"/>
              <w:rPr>
                <w:rFonts w:ascii="宋体" w:hAnsi="宋体" w:cs="宋体"/>
                <w:sz w:val="24"/>
              </w:rPr>
            </w:pPr>
            <w:r>
              <w:rPr>
                <w:rFonts w:hint="eastAsia" w:ascii="宋体" w:hAnsi="宋体" w:cs="宋体"/>
                <w:sz w:val="24"/>
              </w:rPr>
              <w:t>报价文件：正本一份、副本五份</w:t>
            </w:r>
          </w:p>
          <w:p>
            <w:pPr>
              <w:adjustRightInd w:val="0"/>
              <w:snapToGrid w:val="0"/>
              <w:spacing w:line="440" w:lineRule="exact"/>
              <w:rPr>
                <w:rFonts w:ascii="宋体" w:hAnsi="宋体" w:cs="宋体"/>
                <w:sz w:val="24"/>
              </w:rPr>
            </w:pPr>
            <w:r>
              <w:rPr>
                <w:rFonts w:hint="eastAsia" w:ascii="宋体" w:hAnsi="宋体" w:cs="宋体"/>
                <w:sz w:val="24"/>
              </w:rPr>
              <w:t>商务技术文件：正本一份、副本五份</w:t>
            </w:r>
          </w:p>
          <w:p>
            <w:pPr>
              <w:adjustRightInd w:val="0"/>
              <w:snapToGrid w:val="0"/>
              <w:spacing w:line="440" w:lineRule="exact"/>
              <w:rPr>
                <w:rFonts w:ascii="宋体" w:hAnsi="宋体" w:cs="宋体"/>
                <w:sz w:val="28"/>
              </w:rPr>
            </w:pPr>
            <w:r>
              <w:rPr>
                <w:rFonts w:hint="eastAsia" w:ascii="宋体" w:hAnsi="宋体" w:cs="宋体"/>
                <w:b/>
                <w:sz w:val="24"/>
              </w:rPr>
              <w:t>投标文件份数不符合要求的，视其投标无效。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5</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szCs w:val="20"/>
              </w:rPr>
            </w:pPr>
            <w:r>
              <w:rPr>
                <w:rFonts w:hint="eastAsia" w:ascii="宋体" w:hAnsi="宋体" w:cs="宋体"/>
                <w:sz w:val="24"/>
                <w:szCs w:val="20"/>
              </w:rPr>
              <w:t>评标方法</w:t>
            </w:r>
          </w:p>
        </w:tc>
        <w:tc>
          <w:tcPr>
            <w:tcW w:w="724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b/>
                <w:sz w:val="24"/>
              </w:rPr>
            </w:pPr>
            <w:bookmarkStart w:id="6" w:name="ruleMainCatName"/>
            <w:r>
              <w:rPr>
                <w:rFonts w:hint="eastAsia" w:ascii="宋体" w:hAnsi="宋体" w:cs="宋体"/>
                <w:b/>
                <w:sz w:val="24"/>
              </w:rPr>
              <w:t>综合评分法</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10</w:t>
            </w:r>
          </w:p>
        </w:tc>
        <w:tc>
          <w:tcPr>
            <w:tcW w:w="8718" w:type="dxa"/>
            <w:gridSpan w:val="2"/>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sz w:val="24"/>
                <w:szCs w:val="20"/>
              </w:rPr>
            </w:pPr>
            <w:r>
              <w:rPr>
                <w:rFonts w:hint="eastAsia" w:ascii="宋体" w:hAnsi="宋体" w:cs="宋体"/>
                <w:sz w:val="24"/>
                <w:szCs w:val="20"/>
              </w:rPr>
              <w:t>1）、本项目将在开评标过程中现场公布商务技术得分、综合得分及排名；</w:t>
            </w:r>
          </w:p>
          <w:p>
            <w:pPr>
              <w:spacing w:line="440" w:lineRule="exact"/>
              <w:rPr>
                <w:rFonts w:ascii="宋体" w:hAnsi="宋体" w:cs="宋体"/>
                <w:sz w:val="24"/>
                <w:szCs w:val="20"/>
              </w:rPr>
            </w:pPr>
            <w:r>
              <w:rPr>
                <w:rFonts w:hint="eastAsia" w:ascii="宋体" w:hAnsi="宋体" w:cs="宋体"/>
                <w:sz w:val="24"/>
                <w:szCs w:val="20"/>
              </w:rPr>
              <w:t>2）、如项目评标完成前，投标人授权代表已离开开标现场，则投标人不得以未公开得分情况及排名为由提起质疑、投诉。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szCs w:val="20"/>
              </w:rPr>
            </w:pPr>
            <w:r>
              <w:rPr>
                <w:rFonts w:hint="eastAsia" w:ascii="宋体" w:hAnsi="宋体" w:cs="宋体"/>
                <w:b/>
                <w:bCs/>
                <w:sz w:val="24"/>
                <w:szCs w:val="20"/>
              </w:rPr>
              <w:t>原件提交</w:t>
            </w:r>
          </w:p>
        </w:tc>
        <w:tc>
          <w:tcPr>
            <w:tcW w:w="724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sz w:val="24"/>
                <w:szCs w:val="20"/>
              </w:rPr>
            </w:pPr>
            <w:r>
              <w:rPr>
                <w:rFonts w:hint="eastAsia" w:ascii="宋体" w:hAnsi="宋体" w:cs="宋体"/>
                <w:sz w:val="24"/>
                <w:szCs w:val="20"/>
              </w:rPr>
              <w:t>本项目如要求提交原件的，请各投标人根据评分细则、投标文件组成等要求在开标前提供相关原件，原件不提供或者原件与复印件不一致，对应评分项不得分或投标无效。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default" w:ascii="宋体" w:hAnsi="宋体" w:eastAsia="宋体" w:cs="宋体"/>
                <w:sz w:val="24"/>
                <w:lang w:val="en-US" w:eastAsia="zh-CN"/>
              </w:rPr>
            </w:pPr>
            <w:r>
              <w:rPr>
                <w:rFonts w:hint="eastAsia" w:ascii="宋体" w:hAnsi="宋体" w:cs="宋体"/>
                <w:sz w:val="24"/>
                <w:lang w:val="en-US" w:eastAsia="zh-CN"/>
              </w:rPr>
              <w:t>12</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b/>
                <w:bCs/>
                <w:sz w:val="24"/>
                <w:szCs w:val="20"/>
                <w:lang w:eastAsia="zh-CN"/>
              </w:rPr>
            </w:pPr>
            <w:r>
              <w:rPr>
                <w:rFonts w:hint="eastAsia" w:ascii="宋体" w:hAnsi="宋体" w:cs="宋体"/>
                <w:b/>
                <w:bCs/>
                <w:sz w:val="24"/>
                <w:szCs w:val="20"/>
              </w:rPr>
              <w:t>预算</w:t>
            </w:r>
            <w:r>
              <w:rPr>
                <w:rFonts w:hint="eastAsia" w:ascii="宋体" w:hAnsi="宋体" w:cs="宋体"/>
                <w:b/>
                <w:bCs/>
                <w:sz w:val="24"/>
                <w:szCs w:val="20"/>
                <w:lang w:eastAsia="zh-CN"/>
              </w:rPr>
              <w:t>及最高限价</w:t>
            </w:r>
          </w:p>
        </w:tc>
        <w:tc>
          <w:tcPr>
            <w:tcW w:w="724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cs="宋体"/>
                <w:sz w:val="24"/>
                <w:szCs w:val="20"/>
              </w:rPr>
            </w:pPr>
            <w:r>
              <w:rPr>
                <w:rFonts w:hint="eastAsia" w:ascii="宋体" w:hAnsi="宋体" w:cs="宋体"/>
                <w:color w:val="000000"/>
                <w:kern w:val="0"/>
                <w:sz w:val="24"/>
                <w:highlight w:val="none"/>
                <w:lang w:val="en-US" w:eastAsia="zh-CN"/>
              </w:rPr>
              <w:t>25</w:t>
            </w:r>
            <w:r>
              <w:rPr>
                <w:rFonts w:hint="eastAsia" w:ascii="宋体" w:hAnsi="宋体" w:cs="宋体"/>
                <w:kern w:val="0"/>
                <w:sz w:val="24"/>
                <w:highlight w:val="none"/>
              </w:rPr>
              <w:t>万元</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default" w:ascii="宋体" w:hAnsi="宋体" w:cs="宋体"/>
                <w:sz w:val="24"/>
                <w:lang w:val="en-US" w:eastAsia="zh-CN"/>
              </w:rPr>
            </w:pPr>
            <w:r>
              <w:rPr>
                <w:rFonts w:hint="eastAsia" w:ascii="宋体" w:hAnsi="宋体" w:cs="宋体"/>
                <w:sz w:val="24"/>
                <w:lang w:val="en-US" w:eastAsia="zh-CN"/>
              </w:rPr>
              <w:t>13</w:t>
            </w:r>
          </w:p>
        </w:tc>
        <w:tc>
          <w:tcPr>
            <w:tcW w:w="146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b/>
                <w:bCs/>
                <w:sz w:val="24"/>
                <w:szCs w:val="20"/>
              </w:rPr>
            </w:pPr>
            <w:r>
              <w:rPr>
                <w:rFonts w:hint="eastAsia" w:ascii="宋体" w:hAnsi="宋体" w:cs="宋体"/>
                <w:b/>
                <w:bCs/>
                <w:color w:val="auto"/>
                <w:sz w:val="24"/>
              </w:rPr>
              <w:t>招标服务费</w:t>
            </w:r>
          </w:p>
        </w:tc>
        <w:tc>
          <w:tcPr>
            <w:tcW w:w="724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cs="宋体"/>
                <w:b/>
                <w:bCs/>
                <w:color w:val="auto"/>
                <w:sz w:val="24"/>
                <w:szCs w:val="20"/>
              </w:rPr>
            </w:pPr>
            <w:r>
              <w:rPr>
                <w:rFonts w:hint="eastAsia" w:ascii="宋体" w:hAnsi="宋体" w:cs="宋体"/>
                <w:b/>
                <w:bCs/>
                <w:color w:val="auto"/>
                <w:sz w:val="24"/>
              </w:rPr>
              <w:t>招标服务费：中标人在领取中标通知书前支付给招标代理机构，各投标人应在投标报价中予以考虑。</w:t>
            </w:r>
          </w:p>
          <w:p>
            <w:pPr>
              <w:spacing w:line="440" w:lineRule="exact"/>
              <w:rPr>
                <w:rFonts w:ascii="宋体" w:hAnsi="宋体" w:cs="宋体"/>
                <w:b/>
                <w:bCs/>
                <w:color w:val="auto"/>
                <w:sz w:val="24"/>
              </w:rPr>
            </w:pPr>
            <w:r>
              <w:rPr>
                <w:rFonts w:hint="eastAsia" w:ascii="宋体" w:hAnsi="宋体" w:cs="宋体"/>
                <w:b/>
                <w:bCs/>
                <w:color w:val="auto"/>
                <w:sz w:val="24"/>
              </w:rPr>
              <w:t xml:space="preserve">1.代理服务费按照国家计委印发的《招标代理服务收费管理暂行办法》计价格[2002]1980号和发改办价格[2003]857号文件计取; </w:t>
            </w:r>
          </w:p>
          <w:p>
            <w:pPr>
              <w:spacing w:line="440" w:lineRule="exact"/>
              <w:rPr>
                <w:rFonts w:hint="eastAsia" w:ascii="宋体" w:hAnsi="宋体" w:cs="宋体"/>
                <w:b/>
                <w:bCs/>
                <w:color w:val="auto"/>
                <w:sz w:val="24"/>
              </w:rPr>
            </w:pPr>
            <w:r>
              <w:rPr>
                <w:rFonts w:hint="eastAsia" w:ascii="宋体" w:hAnsi="宋体" w:cs="宋体"/>
                <w:b/>
                <w:bCs/>
                <w:color w:val="auto"/>
                <w:sz w:val="24"/>
              </w:rPr>
              <w:t>2.评审费按实结算。</w:t>
            </w:r>
          </w:p>
          <w:p>
            <w:pPr>
              <w:spacing w:line="440" w:lineRule="exact"/>
              <w:rPr>
                <w:rFonts w:hint="eastAsia" w:ascii="宋体" w:hAnsi="宋体" w:cs="宋体"/>
                <w:b/>
                <w:bCs/>
                <w:color w:val="auto"/>
                <w:sz w:val="24"/>
              </w:rPr>
            </w:pPr>
            <w:r>
              <w:rPr>
                <w:rFonts w:hint="eastAsia" w:ascii="宋体" w:hAnsi="宋体" w:cs="宋体"/>
                <w:b/>
                <w:bCs/>
                <w:color w:val="auto"/>
                <w:sz w:val="24"/>
              </w:rPr>
              <w:t>收款单位（户名）:浙江中际工程项目管理有限公司余杭分公司</w:t>
            </w:r>
          </w:p>
          <w:p>
            <w:pPr>
              <w:spacing w:line="440" w:lineRule="exact"/>
              <w:rPr>
                <w:rFonts w:hint="eastAsia" w:ascii="宋体" w:hAnsi="宋体" w:cs="宋体"/>
                <w:b/>
                <w:bCs/>
                <w:color w:val="auto"/>
                <w:sz w:val="24"/>
              </w:rPr>
            </w:pPr>
            <w:r>
              <w:rPr>
                <w:rFonts w:hint="eastAsia" w:ascii="宋体" w:hAnsi="宋体" w:cs="宋体"/>
                <w:b/>
                <w:bCs/>
                <w:color w:val="auto"/>
                <w:sz w:val="24"/>
              </w:rPr>
              <w:t>开户银行：民生银行余杭支行</w:t>
            </w:r>
          </w:p>
          <w:p>
            <w:pPr>
              <w:spacing w:line="440" w:lineRule="exact"/>
              <w:rPr>
                <w:rFonts w:hint="eastAsia" w:ascii="宋体" w:hAnsi="宋体" w:cs="宋体"/>
                <w:kern w:val="0"/>
                <w:sz w:val="24"/>
              </w:rPr>
            </w:pPr>
            <w:r>
              <w:rPr>
                <w:rFonts w:hint="eastAsia" w:ascii="宋体" w:hAnsi="宋体" w:cs="宋体"/>
                <w:b/>
                <w:bCs/>
                <w:color w:val="auto"/>
              </w:rPr>
              <w:t>银行账号：</w:t>
            </w:r>
            <w:r>
              <w:rPr>
                <w:rFonts w:hint="eastAsia" w:ascii="宋体" w:hAnsi="宋体" w:eastAsia="宋体" w:cs="宋体"/>
                <w:b/>
                <w:bCs/>
                <w:color w:val="auto"/>
              </w:rPr>
              <w:t>0706014210006043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default" w:ascii="宋体" w:hAnsi="宋体" w:cs="宋体"/>
                <w:sz w:val="24"/>
                <w:lang w:val="en-US" w:eastAsia="zh-CN"/>
              </w:rPr>
            </w:pPr>
            <w:r>
              <w:rPr>
                <w:rFonts w:hint="eastAsia" w:ascii="宋体" w:hAnsi="宋体" w:cs="宋体"/>
                <w:sz w:val="24"/>
                <w:lang w:val="en-US" w:eastAsia="zh-CN"/>
              </w:rPr>
              <w:t>14</w:t>
            </w:r>
          </w:p>
        </w:tc>
        <w:tc>
          <w:tcPr>
            <w:tcW w:w="8718" w:type="dxa"/>
            <w:gridSpan w:val="2"/>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cs="宋体"/>
                <w:b/>
                <w:bCs/>
                <w:color w:val="auto"/>
              </w:rPr>
            </w:pPr>
            <w:r>
              <w:rPr>
                <w:rFonts w:hint="eastAsia" w:ascii="宋体" w:hAnsi="宋体" w:cs="宋体"/>
                <w:sz w:val="24"/>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default" w:ascii="宋体" w:hAnsi="宋体" w:cs="宋体"/>
                <w:sz w:val="24"/>
                <w:lang w:val="en-US" w:eastAsia="zh-CN"/>
              </w:rPr>
            </w:pPr>
            <w:r>
              <w:rPr>
                <w:rFonts w:hint="eastAsia" w:ascii="宋体" w:hAnsi="宋体" w:cs="宋体"/>
                <w:sz w:val="24"/>
                <w:lang w:val="en-US" w:eastAsia="zh-CN"/>
              </w:rPr>
              <w:t>15</w:t>
            </w:r>
          </w:p>
        </w:tc>
        <w:tc>
          <w:tcPr>
            <w:tcW w:w="8718" w:type="dxa"/>
            <w:gridSpan w:val="2"/>
            <w:tcBorders>
              <w:top w:val="single" w:color="auto" w:sz="4" w:space="0"/>
              <w:left w:val="single" w:color="auto" w:sz="4" w:space="0"/>
              <w:bottom w:val="single" w:color="auto" w:sz="4" w:space="0"/>
              <w:right w:val="single" w:color="auto" w:sz="12" w:space="0"/>
            </w:tcBorders>
            <w:vAlign w:val="center"/>
          </w:tcPr>
          <w:p>
            <w:pPr>
              <w:spacing w:line="600" w:lineRule="exact"/>
              <w:jc w:val="left"/>
              <w:rPr>
                <w:rFonts w:hint="eastAsia" w:ascii="宋体" w:hAnsi="宋体" w:cs="宋体"/>
                <w:sz w:val="24"/>
                <w:highlight w:val="none"/>
              </w:rPr>
            </w:pPr>
            <w:r>
              <w:rPr>
                <w:rFonts w:hint="eastAsia" w:ascii="宋体" w:hAnsi="宋体" w:cs="宋体"/>
                <w:sz w:val="24"/>
                <w:highlight w:val="none"/>
              </w:rPr>
              <w:t>1、本项目对符合财政扶持政策的中小企业（小型、微型）、监狱企业、残疾人福利性单位给予价格优惠扶持，价格优惠扶持见《第三章 评分办法》。</w:t>
            </w:r>
          </w:p>
          <w:p>
            <w:pPr>
              <w:spacing w:line="600" w:lineRule="exact"/>
              <w:jc w:val="left"/>
              <w:rPr>
                <w:rFonts w:hint="eastAsia" w:ascii="宋体" w:hAnsi="宋体" w:cs="宋体"/>
                <w:sz w:val="24"/>
                <w:highlight w:val="none"/>
              </w:rPr>
            </w:pPr>
            <w:r>
              <w:rPr>
                <w:rFonts w:hint="eastAsia" w:ascii="宋体" w:hAnsi="宋体" w:cs="宋体"/>
                <w:sz w:val="24"/>
                <w:highlight w:val="none"/>
              </w:rPr>
              <w:t>2、满足转发财政部 工业和信息化部关于印发《</w:t>
            </w:r>
            <w:r>
              <w:rPr>
                <w:rFonts w:hint="eastAsia" w:ascii="宋体" w:hAnsi="宋体" w:cs="宋体"/>
                <w:sz w:val="24"/>
                <w:highlight w:val="none"/>
                <w:lang w:eastAsia="zh-CN"/>
              </w:rPr>
              <w:t>政府采购促进中小企业发展管理办法</w:t>
            </w:r>
            <w:r>
              <w:rPr>
                <w:rFonts w:hint="eastAsia" w:ascii="宋体" w:hAnsi="宋体" w:cs="宋体"/>
                <w:sz w:val="24"/>
                <w:highlight w:val="none"/>
              </w:rPr>
              <w:t>》的通知（</w:t>
            </w:r>
            <w:r>
              <w:rPr>
                <w:rFonts w:hint="eastAsia" w:ascii="宋体" w:hAnsi="宋体" w:cs="宋体"/>
                <w:sz w:val="24"/>
                <w:highlight w:val="none"/>
                <w:lang w:eastAsia="zh-CN"/>
              </w:rPr>
              <w:t>财库〔2020〕46号</w:t>
            </w:r>
            <w:r>
              <w:rPr>
                <w:rFonts w:hint="eastAsia" w:ascii="宋体" w:hAnsi="宋体" w:cs="宋体"/>
                <w:sz w:val="24"/>
                <w:highlight w:val="none"/>
              </w:rPr>
              <w:t>）的规定的中小企业可享受优惠扶持。</w:t>
            </w:r>
          </w:p>
          <w:p>
            <w:pPr>
              <w:spacing w:line="600" w:lineRule="exact"/>
              <w:jc w:val="left"/>
              <w:rPr>
                <w:rFonts w:hint="eastAsia" w:ascii="宋体" w:hAnsi="宋体" w:cs="宋体"/>
                <w:sz w:val="24"/>
                <w:highlight w:val="none"/>
              </w:rPr>
            </w:pPr>
            <w:r>
              <w:rPr>
                <w:rFonts w:hint="eastAsia" w:ascii="宋体" w:hAnsi="宋体" w:cs="宋体"/>
                <w:sz w:val="24"/>
                <w:highlight w:val="none"/>
              </w:rPr>
              <w:t>满足关于政府采购支持监狱企业发展有关问题的通知（财库[2014]68号）的规定的供应商可享受优惠扶持。</w:t>
            </w:r>
          </w:p>
          <w:p>
            <w:pPr>
              <w:spacing w:line="600" w:lineRule="exact"/>
              <w:jc w:val="left"/>
              <w:rPr>
                <w:rFonts w:hint="eastAsia" w:ascii="宋体" w:hAnsi="宋体" w:cs="宋体"/>
                <w:sz w:val="24"/>
                <w:highlight w:val="none"/>
              </w:rPr>
            </w:pPr>
            <w:r>
              <w:rPr>
                <w:rFonts w:hint="eastAsia" w:ascii="宋体" w:hAnsi="宋体" w:cs="宋体"/>
                <w:sz w:val="24"/>
                <w:highlight w:val="none"/>
              </w:rPr>
              <w:t>满足关于促进残疾人就业政府采购政策的通知（财库[2017]141号）的规定的供应商可享受优惠扶持。</w:t>
            </w:r>
          </w:p>
          <w:p>
            <w:pPr>
              <w:spacing w:line="600" w:lineRule="exact"/>
              <w:jc w:val="left"/>
              <w:rPr>
                <w:rFonts w:hint="eastAsia" w:ascii="宋体" w:hAnsi="宋体" w:cs="宋体"/>
                <w:sz w:val="24"/>
                <w:highlight w:val="none"/>
              </w:rPr>
            </w:pPr>
            <w:r>
              <w:rPr>
                <w:rFonts w:hint="eastAsia" w:ascii="宋体" w:hAnsi="宋体" w:cs="宋体"/>
                <w:sz w:val="24"/>
                <w:highlight w:val="none"/>
              </w:rPr>
              <w:t>3、节能产品、环境标志产品的强制采购政策</w:t>
            </w:r>
          </w:p>
          <w:p>
            <w:pPr>
              <w:spacing w:line="600" w:lineRule="exact"/>
              <w:jc w:val="left"/>
              <w:rPr>
                <w:rFonts w:hint="eastAsia" w:ascii="宋体" w:hAnsi="宋体" w:cs="宋体"/>
                <w:sz w:val="24"/>
                <w:highlight w:val="none"/>
              </w:rPr>
            </w:pPr>
            <w:r>
              <w:rPr>
                <w:rFonts w:hint="eastAsia" w:ascii="宋体" w:hAnsi="宋体" w:cs="宋体"/>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pacing w:line="600" w:lineRule="exact"/>
              <w:jc w:val="left"/>
              <w:rPr>
                <w:rFonts w:hint="eastAsia" w:ascii="宋体" w:hAnsi="宋体" w:cs="宋体"/>
                <w:sz w:val="24"/>
                <w:highlight w:val="none"/>
              </w:rPr>
            </w:pPr>
            <w:r>
              <w:rPr>
                <w:rFonts w:hint="eastAsia" w:ascii="宋体" w:hAnsi="宋体" w:cs="宋体"/>
                <w:sz w:val="24"/>
                <w:highlight w:val="none"/>
              </w:rPr>
              <w:t>4、节能产品、环境标志产品的优先采购政策</w:t>
            </w:r>
          </w:p>
          <w:p>
            <w:pPr>
              <w:spacing w:line="440" w:lineRule="exact"/>
              <w:rPr>
                <w:rFonts w:hint="eastAsia" w:ascii="宋体" w:hAnsi="宋体" w:cs="宋体"/>
                <w:sz w:val="24"/>
                <w:highlight w:val="none"/>
              </w:rPr>
            </w:pPr>
            <w:r>
              <w:rPr>
                <w:rFonts w:hint="eastAsia" w:ascii="宋体" w:hAnsi="宋体" w:cs="宋体"/>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bl>
    <w:p>
      <w:pPr>
        <w:adjustRightInd w:val="0"/>
        <w:snapToGrid w:val="0"/>
        <w:spacing w:line="440" w:lineRule="exact"/>
        <w:jc w:val="center"/>
        <w:rPr>
          <w:rFonts w:ascii="宋体" w:hAnsi="宋体" w:cs="宋体"/>
          <w:b/>
          <w:bCs/>
          <w:sz w:val="24"/>
        </w:rPr>
      </w:pPr>
      <w:r>
        <w:rPr>
          <w:rFonts w:hint="eastAsia" w:ascii="宋体" w:hAnsi="宋体" w:cs="宋体"/>
          <w:b/>
          <w:bCs/>
          <w:kern w:val="0"/>
          <w:sz w:val="24"/>
        </w:rPr>
        <w:br w:type="page"/>
      </w:r>
      <w:r>
        <w:rPr>
          <w:rFonts w:hint="eastAsia" w:ascii="宋体" w:hAnsi="宋体" w:cs="宋体"/>
          <w:b/>
          <w:bCs/>
          <w:sz w:val="24"/>
        </w:rPr>
        <w:t>第一节   投标人须知之通用条款</w:t>
      </w:r>
    </w:p>
    <w:p>
      <w:pPr>
        <w:adjustRightInd w:val="0"/>
        <w:snapToGrid w:val="0"/>
        <w:spacing w:line="440" w:lineRule="exact"/>
        <w:jc w:val="center"/>
        <w:rPr>
          <w:rFonts w:ascii="宋体" w:hAnsi="宋体" w:cs="宋体"/>
          <w:b/>
          <w:bCs/>
          <w:sz w:val="24"/>
        </w:rPr>
      </w:pPr>
    </w:p>
    <w:p>
      <w:pPr>
        <w:adjustRightInd w:val="0"/>
        <w:snapToGrid w:val="0"/>
        <w:spacing w:line="440" w:lineRule="exact"/>
        <w:jc w:val="center"/>
        <w:rPr>
          <w:rFonts w:ascii="宋体" w:hAnsi="宋体" w:cs="宋体"/>
          <w:b/>
          <w:bCs/>
          <w:sz w:val="24"/>
        </w:rPr>
      </w:pPr>
      <w:r>
        <w:rPr>
          <w:rFonts w:hint="eastAsia" w:ascii="宋体" w:hAnsi="宋体" w:cs="宋体"/>
          <w:b/>
          <w:bCs/>
          <w:sz w:val="24"/>
        </w:rPr>
        <w:t>一、总则</w:t>
      </w:r>
    </w:p>
    <w:p>
      <w:pPr>
        <w:adjustRightInd w:val="0"/>
        <w:snapToGrid w:val="0"/>
        <w:spacing w:line="360" w:lineRule="auto"/>
        <w:rPr>
          <w:rFonts w:ascii="宋体" w:hAnsi="宋体" w:cs="宋体"/>
          <w:b/>
          <w:sz w:val="24"/>
        </w:rPr>
      </w:pPr>
      <w:r>
        <w:rPr>
          <w:rFonts w:hint="eastAsia" w:ascii="宋体" w:hAnsi="宋体" w:cs="宋体"/>
          <w:b/>
          <w:sz w:val="24"/>
        </w:rPr>
        <w:t>1、适用范围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本招标文件适用于本项目的招标、投标、评标、定标、验收、合同履约、付款等行为。</w:t>
      </w:r>
    </w:p>
    <w:p>
      <w:pPr>
        <w:adjustRightInd w:val="0"/>
        <w:snapToGrid w:val="0"/>
        <w:spacing w:line="360" w:lineRule="auto"/>
        <w:rPr>
          <w:rFonts w:ascii="宋体" w:hAnsi="宋体" w:cs="宋体"/>
          <w:b/>
          <w:sz w:val="24"/>
        </w:rPr>
      </w:pPr>
      <w:r>
        <w:rPr>
          <w:rFonts w:hint="eastAsia" w:ascii="宋体" w:hAnsi="宋体" w:cs="宋体"/>
          <w:b/>
          <w:sz w:val="24"/>
        </w:rPr>
        <w:t>2、定义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2.1、“招标采购单位”系指组织本次招标的采购代理机构（</w:t>
      </w:r>
      <w:r>
        <w:rPr>
          <w:rFonts w:hint="eastAsia" w:ascii="宋体" w:hAnsi="宋体" w:cs="宋体"/>
          <w:sz w:val="24"/>
          <w:lang w:eastAsia="zh-CN"/>
        </w:rPr>
        <w:t>浙江中际工程项目管理有限公司</w:t>
      </w:r>
      <w:r>
        <w:rPr>
          <w:rFonts w:hint="eastAsia" w:ascii="宋体" w:hAnsi="宋体" w:cs="宋体"/>
          <w:sz w:val="24"/>
        </w:rPr>
        <w:t>）以及本项目采购人。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2.2、“投标人”系指向招标采购单位递交投标文件的单位。</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2.3、“书面形式”包括信函、传真、电报等。</w:t>
      </w:r>
    </w:p>
    <w:p>
      <w:pPr>
        <w:adjustRightInd w:val="0"/>
        <w:snapToGrid w:val="0"/>
        <w:spacing w:line="360" w:lineRule="auto"/>
        <w:rPr>
          <w:rFonts w:ascii="宋体" w:hAnsi="宋体" w:cs="宋体"/>
          <w:sz w:val="24"/>
        </w:rPr>
      </w:pPr>
      <w:r>
        <w:rPr>
          <w:rFonts w:hint="eastAsia" w:ascii="宋体" w:hAnsi="宋体" w:cs="宋体"/>
          <w:b/>
          <w:sz w:val="24"/>
        </w:rPr>
        <w:t>3、采购方式：</w:t>
      </w:r>
      <w:r>
        <w:rPr>
          <w:rFonts w:hint="eastAsia" w:ascii="宋体" w:hAnsi="宋体" w:cs="宋体"/>
          <w:sz w:val="24"/>
        </w:rPr>
        <w:t>公开招标。</w:t>
      </w:r>
    </w:p>
    <w:p>
      <w:pPr>
        <w:spacing w:line="360" w:lineRule="auto"/>
        <w:ind w:left="723" w:hanging="723" w:hangingChars="300"/>
        <w:rPr>
          <w:rFonts w:ascii="宋体" w:hAnsi="宋体" w:cs="宋体"/>
          <w:b/>
          <w:sz w:val="24"/>
        </w:rPr>
      </w:pPr>
      <w:r>
        <w:rPr>
          <w:rFonts w:hint="eastAsia" w:ascii="宋体" w:hAnsi="宋体" w:cs="宋体"/>
          <w:b/>
          <w:sz w:val="24"/>
        </w:rPr>
        <w:t>4、投标委托：投标人代表</w:t>
      </w:r>
      <w:r>
        <w:rPr>
          <w:rFonts w:hint="eastAsia" w:ascii="宋体" w:hAnsi="宋体" w:cs="宋体"/>
          <w:b/>
          <w:kern w:val="0"/>
          <w:sz w:val="24"/>
        </w:rPr>
        <w:t>应当是投标人的在职正式职工，</w:t>
      </w:r>
      <w:r>
        <w:rPr>
          <w:rFonts w:hint="eastAsia" w:ascii="宋体" w:hAnsi="宋体" w:cs="宋体"/>
          <w:b/>
          <w:sz w:val="24"/>
        </w:rPr>
        <w:t>请携带本人有效身份证件。如投标人代表不是法定代表人，须有法定代表人出具的授权委托书。授权委托书必须按照“第五部分投标文件格式”填写，如有不符授权无效，可能会导致投标无效。</w:t>
      </w:r>
    </w:p>
    <w:p>
      <w:pPr>
        <w:adjustRightInd w:val="0"/>
        <w:snapToGrid w:val="0"/>
        <w:spacing w:line="360" w:lineRule="auto"/>
        <w:rPr>
          <w:rFonts w:ascii="宋体" w:hAnsi="宋体" w:cs="宋体"/>
          <w:sz w:val="24"/>
        </w:rPr>
      </w:pPr>
      <w:r>
        <w:rPr>
          <w:rFonts w:hint="eastAsia" w:ascii="宋体" w:hAnsi="宋体" w:cs="宋体"/>
          <w:b/>
          <w:sz w:val="24"/>
        </w:rPr>
        <w:t>5、投标费用：</w:t>
      </w:r>
      <w:r>
        <w:rPr>
          <w:rFonts w:hint="eastAsia" w:ascii="宋体" w:hAnsi="宋体" w:cs="宋体"/>
          <w:sz w:val="24"/>
        </w:rPr>
        <w:t>投标人需自行承担涉及投标的一切费用。</w:t>
      </w:r>
    </w:p>
    <w:p>
      <w:pPr>
        <w:adjustRightInd w:val="0"/>
        <w:snapToGrid w:val="0"/>
        <w:spacing w:line="360" w:lineRule="auto"/>
        <w:rPr>
          <w:rFonts w:ascii="宋体" w:hAnsi="宋体" w:cs="宋体"/>
          <w:b/>
          <w:bCs/>
          <w:sz w:val="24"/>
        </w:rPr>
      </w:pPr>
      <w:r>
        <w:rPr>
          <w:rFonts w:hint="eastAsia" w:ascii="宋体" w:hAnsi="宋体" w:cs="宋体"/>
          <w:b/>
          <w:bCs/>
          <w:sz w:val="24"/>
        </w:rPr>
        <w:t>6、特别说明：</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6.1、投标人应仔细阅读招标文件的所有内容，按照招标文件的要求提交投标文件，并对所提供的全部资料的真实性承担法律责任。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6.2、单位负责人为同一人或者存在直接控股、管理关系的不同供应商，不得参加同一合同项下的政府采购活动。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3</w:t>
      </w:r>
      <w:r>
        <w:rPr>
          <w:rFonts w:hint="eastAsia" w:ascii="宋体" w:hAnsi="宋体" w:cs="宋体"/>
          <w:sz w:val="24"/>
        </w:rP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4</w:t>
      </w:r>
      <w:r>
        <w:rPr>
          <w:rFonts w:hint="eastAsia" w:ascii="宋体" w:hAnsi="宋体" w:cs="宋体"/>
          <w:sz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sz w:val="24"/>
          <w:lang w:val="zh-CN"/>
        </w:rPr>
        <w:t>供应商</w:t>
      </w:r>
      <w:r>
        <w:rPr>
          <w:rFonts w:hint="eastAsia" w:ascii="宋体" w:hAnsi="宋体" w:cs="宋体"/>
          <w:sz w:val="24"/>
        </w:rPr>
        <w:t>应承担相应后果，</w:t>
      </w:r>
      <w:r>
        <w:rPr>
          <w:rFonts w:hint="eastAsia" w:ascii="宋体" w:hAnsi="宋体" w:cs="宋体"/>
          <w:sz w:val="24"/>
          <w:lang w:val="zh-CN"/>
        </w:rPr>
        <w:t>并负责赔偿。</w:t>
      </w:r>
      <w:r>
        <w:rPr>
          <w:rFonts w:hint="eastAsia" w:ascii="宋体" w:hAnsi="宋体" w:cs="宋体"/>
          <w:sz w:val="24"/>
        </w:rPr>
        <w:t>供应商为执行本项目合同而提供的技术资料等归采购人所有。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6.</w:t>
      </w:r>
      <w:r>
        <w:rPr>
          <w:rFonts w:hint="eastAsia" w:ascii="宋体" w:hAnsi="宋体" w:cs="宋体"/>
          <w:sz w:val="24"/>
          <w:lang w:val="en-US" w:eastAsia="zh-CN"/>
        </w:rPr>
        <w:t>5</w:t>
      </w:r>
      <w:r>
        <w:rPr>
          <w:rFonts w:hint="eastAsia" w:ascii="宋体" w:hAnsi="宋体" w:cs="宋体"/>
          <w:sz w:val="24"/>
        </w:rPr>
        <w:t>、本招标文件中所指的有效身份证件指的是：居民户口薄、居民身份证、临时居民身份证、护照、港澳同胞回乡证、港澳居民来往内地通行证、台湾居民来往大陆通行证、外国人居留证、外国人出入境证、驾驶证、市民卡，有期限规定的证件在有效期内方为有效。</w:t>
      </w:r>
    </w:p>
    <w:p>
      <w:pPr>
        <w:spacing w:line="360" w:lineRule="auto"/>
        <w:ind w:firstLine="240" w:firstLineChars="1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二、招标文件</w:t>
      </w:r>
    </w:p>
    <w:p>
      <w:pPr>
        <w:adjustRightInd w:val="0"/>
        <w:snapToGrid w:val="0"/>
        <w:spacing w:line="360" w:lineRule="auto"/>
        <w:rPr>
          <w:rFonts w:ascii="宋体" w:hAnsi="宋体" w:cs="宋体"/>
          <w:b/>
          <w:sz w:val="24"/>
        </w:rPr>
      </w:pPr>
      <w:r>
        <w:rPr>
          <w:rFonts w:hint="eastAsia" w:ascii="宋体" w:hAnsi="宋体" w:cs="宋体"/>
          <w:b/>
          <w:sz w:val="24"/>
        </w:rPr>
        <w:t>7、招标文件的澄清与修改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7.1、</w:t>
      </w:r>
      <w:r>
        <w:rPr>
          <w:rFonts w:hint="eastAsia" w:ascii="宋体" w:hAnsi="宋体" w:cs="宋体"/>
          <w:bCs/>
          <w:sz w:val="24"/>
        </w:rPr>
        <w:t>投标人应认真阅读本招标文件，发现其中有误或有不合理要求的，投标人必须以书面形式要求招标采购单位澄清</w:t>
      </w:r>
      <w:r>
        <w:rPr>
          <w:rFonts w:hint="eastAsia" w:ascii="宋体" w:hAnsi="宋体" w:cs="宋体"/>
          <w:sz w:val="24"/>
        </w:rPr>
        <w:t>。招标采购单位对已发出的招标文件进行必要澄清、答复、修改或补充的，应当在采购信息发布媒体上发布更正公告，并以书面形式通知所有报名的投标人。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7.2、采购代理机构必须以书面形式答复投标人要求澄清的问题，并将不包含问题来源的答复书面通知所有前来报名的投标人。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7.3、招标文件澄清、答复、修改、补充的内容为招标文件的组成部分。当招标文件与招标文件的答复、澄清、修改、补充通知就同一内容的表述不一致时，以最后发出的书面文件为准。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7.4、招标文件的澄清、答复、修改或补充都应该通过采购代理机构以法定形式发布，采购人不得擅自澄清、答复、修改或补充招标文件。</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三、投标文件的编制</w:t>
      </w:r>
    </w:p>
    <w:p>
      <w:pPr>
        <w:spacing w:line="360" w:lineRule="auto"/>
        <w:rPr>
          <w:rFonts w:ascii="宋体" w:hAnsi="宋体" w:cs="宋体"/>
          <w:b/>
          <w:sz w:val="24"/>
        </w:rPr>
      </w:pPr>
      <w:r>
        <w:rPr>
          <w:rFonts w:hint="eastAsia" w:ascii="宋体" w:hAnsi="宋体" w:cs="宋体"/>
          <w:b/>
          <w:sz w:val="24"/>
        </w:rPr>
        <w:t>8、投标文件的语言及计量</w:t>
      </w:r>
    </w:p>
    <w:p>
      <w:pPr>
        <w:spacing w:line="360" w:lineRule="auto"/>
        <w:ind w:firstLine="480" w:firstLineChars="200"/>
        <w:rPr>
          <w:rFonts w:ascii="宋体" w:hAnsi="宋体" w:cs="宋体"/>
          <w:sz w:val="24"/>
        </w:rPr>
      </w:pPr>
      <w:r>
        <w:rPr>
          <w:rFonts w:hint="eastAsia" w:ascii="宋体" w:hAnsi="宋体" w:cs="宋体"/>
          <w:sz w:val="24"/>
        </w:rPr>
        <w:t>8.1、投标文件以及投标人与招标采购单位就有关投标事宜的所有来往函电，均应以中文汉语书写。除签名、盖章、专用名称等特殊情形外，以中文汉语以外的文字表述的投标文件视同未提供。</w:t>
      </w:r>
    </w:p>
    <w:p>
      <w:pPr>
        <w:spacing w:line="360" w:lineRule="auto"/>
        <w:ind w:firstLine="480" w:firstLineChars="200"/>
        <w:rPr>
          <w:rFonts w:ascii="宋体" w:hAnsi="宋体" w:cs="宋体"/>
          <w:sz w:val="24"/>
        </w:rPr>
      </w:pPr>
      <w:r>
        <w:rPr>
          <w:rFonts w:hint="eastAsia" w:ascii="宋体" w:hAnsi="宋体" w:cs="宋体"/>
          <w:sz w:val="24"/>
        </w:rPr>
        <w:t xml:space="preserve"> 附在相关外文资料后面，否则外文资料不予认可。翻译的中文资料与外文资料不符的，均不予认可。翻译严重错误的，将视同提供虚假资料。</w:t>
      </w:r>
    </w:p>
    <w:p>
      <w:pPr>
        <w:spacing w:line="360" w:lineRule="auto"/>
        <w:ind w:firstLine="360" w:firstLineChars="150"/>
        <w:rPr>
          <w:rFonts w:ascii="宋体" w:hAnsi="宋体" w:cs="宋体"/>
          <w:sz w:val="24"/>
        </w:rPr>
      </w:pPr>
      <w:r>
        <w:rPr>
          <w:rFonts w:hint="eastAsia" w:ascii="宋体" w:hAnsi="宋体" w:cs="宋体"/>
          <w:sz w:val="24"/>
        </w:rPr>
        <w:t>8.3、投标计量单位，招标文件已有明确规定的，使用招标文件规定的计量单位；招标文件没有规定的，应采用中华人民共和国法定计量单位（货币单位：人民币元），否则视同未响应。</w:t>
      </w:r>
    </w:p>
    <w:p>
      <w:pPr>
        <w:pStyle w:val="11"/>
        <w:spacing w:line="360" w:lineRule="auto"/>
        <w:ind w:firstLine="360" w:firstLineChars="150"/>
        <w:rPr>
          <w:rFonts w:hAnsi="宋体" w:cs="宋体"/>
          <w:sz w:val="24"/>
          <w:szCs w:val="24"/>
        </w:rPr>
      </w:pPr>
      <w:r>
        <w:rPr>
          <w:rFonts w:hint="eastAsia" w:hAnsi="宋体" w:cs="宋体"/>
          <w:sz w:val="24"/>
        </w:rPr>
        <w:t>8.</w:t>
      </w:r>
      <w:r>
        <w:rPr>
          <w:rFonts w:hint="eastAsia" w:hAnsi="宋体" w:cs="宋体"/>
          <w:sz w:val="24"/>
          <w:szCs w:val="24"/>
        </w:rPr>
        <w:t>4、投标文件中优惠条件事项不能包括采购项目本身所包括涉及的采购事项。投标人不能以“赠送、赠予”等任何名义提供货物和服务以规避招标文件的约束。</w:t>
      </w:r>
    </w:p>
    <w:p>
      <w:pPr>
        <w:adjustRightInd w:val="0"/>
        <w:snapToGrid w:val="0"/>
        <w:spacing w:line="360" w:lineRule="auto"/>
        <w:rPr>
          <w:rFonts w:ascii="宋体" w:hAnsi="宋体" w:cs="宋体"/>
          <w:sz w:val="24"/>
        </w:rPr>
      </w:pPr>
      <w:r>
        <w:rPr>
          <w:rFonts w:hint="eastAsia" w:ascii="宋体" w:hAnsi="宋体" w:cs="宋体"/>
          <w:sz w:val="24"/>
        </w:rPr>
        <w:t>9、投标文件组成详见“第二节   投标人须知之专用条款”中相关条款。</w:t>
      </w:r>
    </w:p>
    <w:p>
      <w:pPr>
        <w:pStyle w:val="27"/>
        <w:spacing w:before="0"/>
        <w:ind w:firstLine="0" w:firstLineChars="0"/>
        <w:rPr>
          <w:rFonts w:ascii="宋体" w:hAnsi="宋体" w:cs="宋体"/>
          <w:b/>
          <w:szCs w:val="24"/>
        </w:rPr>
      </w:pPr>
      <w:r>
        <w:rPr>
          <w:rFonts w:hint="eastAsia" w:ascii="宋体" w:hAnsi="宋体" w:cs="宋体"/>
          <w:b/>
          <w:szCs w:val="24"/>
        </w:rPr>
        <w:t>10、 投标有效期</w:t>
      </w:r>
    </w:p>
    <w:p>
      <w:pPr>
        <w:pStyle w:val="27"/>
        <w:spacing w:before="0"/>
        <w:ind w:firstLine="480"/>
        <w:rPr>
          <w:rFonts w:ascii="宋体" w:hAnsi="宋体" w:cs="宋体"/>
        </w:rPr>
      </w:pPr>
      <w:r>
        <w:rPr>
          <w:rFonts w:hint="eastAsia" w:ascii="宋体" w:hAnsi="宋体" w:cs="宋体"/>
        </w:rPr>
        <w:t>10.1、投标文件递交后60天内有效。</w:t>
      </w:r>
    </w:p>
    <w:p>
      <w:pPr>
        <w:pStyle w:val="27"/>
        <w:spacing w:before="0"/>
        <w:ind w:firstLine="480"/>
        <w:rPr>
          <w:rFonts w:ascii="宋体" w:hAnsi="宋体" w:cs="宋体"/>
        </w:rPr>
      </w:pPr>
      <w:r>
        <w:rPr>
          <w:rFonts w:hint="eastAsia" w:ascii="宋体" w:hAnsi="宋体" w:cs="宋体"/>
        </w:rPr>
        <w:t>10.2、在原定投标有效期之前，如果出现特殊情况，采购代理机构可以以书面形式通知投标人延长投标有效期。</w:t>
      </w:r>
    </w:p>
    <w:p>
      <w:pPr>
        <w:pStyle w:val="27"/>
        <w:numPr>
          <w:ilvl w:val="0"/>
          <w:numId w:val="0"/>
        </w:numPr>
        <w:spacing w:before="0"/>
        <w:rPr>
          <w:rFonts w:ascii="宋体" w:hAnsi="宋体" w:cs="宋体"/>
          <w:b/>
        </w:rPr>
      </w:pPr>
      <w:r>
        <w:rPr>
          <w:rFonts w:hint="eastAsia" w:ascii="宋体" w:hAnsi="宋体" w:cs="宋体"/>
          <w:b/>
          <w:lang w:val="en-US" w:eastAsia="zh-CN"/>
        </w:rPr>
        <w:t>11、</w:t>
      </w:r>
      <w:r>
        <w:rPr>
          <w:rFonts w:hint="eastAsia" w:ascii="宋体" w:hAnsi="宋体" w:cs="宋体"/>
          <w:b/>
        </w:rPr>
        <w:t>投标文件的编制</w:t>
      </w:r>
    </w:p>
    <w:p>
      <w:pPr>
        <w:pStyle w:val="27"/>
        <w:spacing w:before="0"/>
        <w:ind w:firstLine="0" w:firstLineChars="0"/>
        <w:rPr>
          <w:rFonts w:ascii="宋体" w:hAnsi="宋体" w:cs="宋体"/>
        </w:rPr>
      </w:pPr>
      <w:r>
        <w:rPr>
          <w:rFonts w:hint="eastAsia" w:ascii="宋体" w:hAnsi="宋体" w:cs="宋体"/>
        </w:rPr>
        <w:t xml:space="preserve">    1</w:t>
      </w:r>
      <w:r>
        <w:rPr>
          <w:rFonts w:hint="eastAsia" w:ascii="宋体" w:hAnsi="宋体" w:cs="宋体"/>
          <w:lang w:val="en-US" w:eastAsia="zh-CN"/>
        </w:rPr>
        <w:t>1</w:t>
      </w:r>
      <w:r>
        <w:rPr>
          <w:rFonts w:hint="eastAsia" w:ascii="宋体" w:hAnsi="宋体" w:cs="宋体"/>
        </w:rPr>
        <w:t>.1、投标文件标识不清、编写不完整、编排混乱导致投标文件被误拆、误读、漏读或者查找不到相关内容的，责任由投标人自行承担。</w:t>
      </w:r>
    </w:p>
    <w:p>
      <w:pPr>
        <w:pStyle w:val="27"/>
        <w:spacing w:before="0"/>
        <w:ind w:firstLine="480"/>
        <w:rPr>
          <w:rFonts w:ascii="宋体" w:hAnsi="宋体" w:cs="宋体"/>
        </w:rPr>
      </w:pPr>
      <w:r>
        <w:rPr>
          <w:rFonts w:hint="eastAsia" w:ascii="宋体" w:hAnsi="宋体" w:cs="宋体"/>
        </w:rPr>
        <w:t>1</w:t>
      </w:r>
      <w:r>
        <w:rPr>
          <w:rFonts w:hint="eastAsia" w:ascii="宋体" w:hAnsi="宋体" w:cs="宋体"/>
          <w:lang w:val="en-US" w:eastAsia="zh-CN"/>
        </w:rPr>
        <w:t>1</w:t>
      </w:r>
      <w:r>
        <w:rPr>
          <w:rFonts w:hint="eastAsia" w:ascii="宋体" w:hAnsi="宋体" w:cs="宋体"/>
        </w:rPr>
        <w:t>.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27"/>
        <w:spacing w:before="0"/>
        <w:ind w:firstLine="480"/>
        <w:rPr>
          <w:rFonts w:ascii="宋体" w:hAnsi="宋体" w:cs="宋体"/>
        </w:rPr>
      </w:pPr>
      <w:r>
        <w:rPr>
          <w:rFonts w:hint="eastAsia" w:ascii="宋体" w:hAnsi="宋体" w:cs="宋体"/>
        </w:rPr>
        <w:t>12.3、投标文件提倡采用A4幅面双面打印，并按顺序统一编目编码装订成册。</w:t>
      </w:r>
    </w:p>
    <w:p>
      <w:pPr>
        <w:pStyle w:val="27"/>
        <w:spacing w:before="0"/>
        <w:ind w:firstLine="0" w:firstLineChars="0"/>
        <w:rPr>
          <w:rFonts w:ascii="宋体" w:hAnsi="宋体" w:cs="宋体"/>
          <w:b/>
        </w:rPr>
      </w:pPr>
      <w:r>
        <w:rPr>
          <w:rFonts w:hint="eastAsia" w:ascii="宋体" w:hAnsi="宋体" w:cs="宋体"/>
          <w:b/>
        </w:rPr>
        <w:t>1</w:t>
      </w:r>
      <w:r>
        <w:rPr>
          <w:rFonts w:hint="eastAsia" w:ascii="宋体" w:hAnsi="宋体" w:cs="宋体"/>
          <w:b/>
          <w:lang w:val="en-US" w:eastAsia="zh-CN"/>
        </w:rPr>
        <w:t>2</w:t>
      </w:r>
      <w:r>
        <w:rPr>
          <w:rFonts w:hint="eastAsia" w:ascii="宋体" w:hAnsi="宋体" w:cs="宋体"/>
          <w:b/>
        </w:rPr>
        <w:t>、投标文件的签署和份数</w:t>
      </w:r>
    </w:p>
    <w:p>
      <w:pPr>
        <w:pStyle w:val="27"/>
        <w:spacing w:before="0"/>
        <w:ind w:firstLine="480"/>
        <w:rPr>
          <w:rFonts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1、投标人应按商务、技术文件、报价文件正本各一份，副本各五份分别编制并单独装订成册，商务、技术文件可合并装订（但须明显区分）。投标文件封面上应注明“商务/技术文件/报价文件、正本/副本、项目名称、项目编号”等字样，同时必须加盖单位公章。一旦正本和副本有差异，以正本为准。</w:t>
      </w:r>
    </w:p>
    <w:p>
      <w:pPr>
        <w:pStyle w:val="27"/>
        <w:spacing w:before="0"/>
        <w:ind w:firstLine="480"/>
        <w:rPr>
          <w:rFonts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.2、投标文件的正本需打印或用不褪色的墨水填写，投标文件正本除 “第二部分 投标人须知”中规定的可提供复印件外均提供原件。副本为正本的复印件。</w:t>
      </w:r>
    </w:p>
    <w:p>
      <w:pPr>
        <w:adjustRightInd w:val="0"/>
        <w:snapToGrid w:val="0"/>
        <w:spacing w:line="360" w:lineRule="auto"/>
        <w:ind w:firstLine="480" w:firstLineChars="200"/>
        <w:jc w:val="left"/>
        <w:rPr>
          <w:rFonts w:ascii="宋体" w:hAnsi="宋体" w:cs="宋体"/>
          <w:b/>
          <w:bCs/>
          <w:sz w:val="24"/>
        </w:rPr>
      </w:pPr>
      <w:r>
        <w:rPr>
          <w:rFonts w:hint="eastAsia" w:ascii="宋体" w:hAnsi="宋体" w:cs="宋体"/>
          <w:sz w:val="24"/>
          <w:szCs w:val="22"/>
        </w:rPr>
        <w:t>1</w:t>
      </w:r>
      <w:r>
        <w:rPr>
          <w:rFonts w:hint="eastAsia" w:ascii="宋体" w:hAnsi="宋体" w:cs="宋体"/>
          <w:sz w:val="24"/>
          <w:szCs w:val="22"/>
          <w:lang w:val="en-US" w:eastAsia="zh-CN"/>
        </w:rPr>
        <w:t>2</w:t>
      </w:r>
      <w:r>
        <w:rPr>
          <w:rFonts w:hint="eastAsia" w:ascii="宋体" w:hAnsi="宋体" w:cs="宋体"/>
          <w:sz w:val="24"/>
          <w:szCs w:val="22"/>
        </w:rPr>
        <w:t>.3、投标文件须由投标人在规定位置加盖单位公章、法定代表人或授权代表签署，投标人应写全称。</w:t>
      </w:r>
    </w:p>
    <w:p>
      <w:pPr>
        <w:adjustRightInd w:val="0"/>
        <w:snapToGrid w:val="0"/>
        <w:spacing w:line="360" w:lineRule="auto"/>
        <w:jc w:val="center"/>
        <w:rPr>
          <w:rFonts w:ascii="宋体" w:hAnsi="宋体" w:cs="宋体"/>
        </w:rPr>
      </w:pPr>
      <w:r>
        <w:rPr>
          <w:rFonts w:hint="eastAsia" w:ascii="宋体" w:hAnsi="宋体" w:cs="宋体"/>
          <w:b/>
          <w:bCs/>
          <w:sz w:val="24"/>
        </w:rPr>
        <w:t>四、 投标文件的递交</w:t>
      </w:r>
    </w:p>
    <w:p>
      <w:pPr>
        <w:pStyle w:val="27"/>
        <w:spacing w:before="0"/>
        <w:ind w:firstLine="0" w:firstLineChars="0"/>
        <w:rPr>
          <w:rFonts w:ascii="宋体" w:hAnsi="宋体" w:cs="宋体"/>
          <w:b/>
        </w:rPr>
      </w:pPr>
      <w:r>
        <w:rPr>
          <w:rFonts w:hint="eastAsia" w:ascii="宋体" w:hAnsi="宋体" w:cs="宋体"/>
          <w:b/>
        </w:rPr>
        <w:t>14、投标文件的包装和递交</w:t>
      </w:r>
    </w:p>
    <w:p>
      <w:pPr>
        <w:pStyle w:val="27"/>
        <w:spacing w:before="0"/>
        <w:ind w:firstLine="480"/>
        <w:rPr>
          <w:rFonts w:ascii="宋体" w:hAnsi="宋体" w:cs="宋体"/>
        </w:rPr>
      </w:pPr>
      <w:r>
        <w:rPr>
          <w:rFonts w:hint="eastAsia" w:ascii="宋体" w:hAnsi="宋体" w:cs="宋体"/>
        </w:rPr>
        <w:t>14.1、投标文件须密封包装并加盖投标人公章，</w:t>
      </w:r>
      <w:r>
        <w:rPr>
          <w:rFonts w:hint="eastAsia" w:ascii="宋体" w:hAnsi="宋体" w:cs="宋体"/>
          <w:b/>
        </w:rPr>
        <w:t>报价文件必须单独密封包装，除报价文件之外其他投标文件中不得出现投标报价</w:t>
      </w:r>
      <w:r>
        <w:rPr>
          <w:rFonts w:hint="eastAsia" w:ascii="宋体" w:hAnsi="宋体" w:cs="宋体"/>
          <w:b/>
          <w:bCs/>
        </w:rPr>
        <w:t>（招标文件另有规定的除外）</w:t>
      </w:r>
      <w:r>
        <w:rPr>
          <w:rFonts w:hint="eastAsia" w:ascii="宋体" w:hAnsi="宋体" w:cs="宋体"/>
          <w:b/>
        </w:rPr>
        <w:t>。</w:t>
      </w:r>
    </w:p>
    <w:p>
      <w:pPr>
        <w:pStyle w:val="27"/>
        <w:spacing w:before="0"/>
        <w:ind w:firstLine="480"/>
        <w:rPr>
          <w:rFonts w:ascii="宋体" w:hAnsi="宋体" w:cs="宋体"/>
        </w:rPr>
      </w:pPr>
      <w:r>
        <w:rPr>
          <w:rFonts w:hint="eastAsia" w:ascii="宋体" w:hAnsi="宋体" w:cs="宋体"/>
        </w:rPr>
        <w:t>14.2、投标文件外层包装封面上应注明“商务/技术文件/报价文件、项目名称、项目编号、投标人名称及开标时启封”等字样，并加盖投标人公章。可参考“第五部分 投标文件格式”。</w:t>
      </w:r>
    </w:p>
    <w:p>
      <w:pPr>
        <w:pStyle w:val="27"/>
        <w:spacing w:before="0"/>
        <w:ind w:firstLine="480"/>
        <w:rPr>
          <w:rFonts w:ascii="宋体" w:hAnsi="宋体" w:cs="宋体"/>
        </w:rPr>
      </w:pPr>
      <w:r>
        <w:rPr>
          <w:rFonts w:hint="eastAsia" w:ascii="宋体" w:hAnsi="宋体" w:cs="宋体"/>
        </w:rPr>
        <w:t>14.3、招标采购单位将拒绝未通过报名的投标人的投标文件。</w:t>
      </w:r>
    </w:p>
    <w:p>
      <w:pPr>
        <w:pStyle w:val="27"/>
        <w:spacing w:before="0"/>
        <w:ind w:firstLine="480"/>
        <w:rPr>
          <w:rFonts w:ascii="宋体" w:hAnsi="宋体" w:cs="宋体"/>
        </w:rPr>
      </w:pPr>
      <w:r>
        <w:rPr>
          <w:rFonts w:hint="eastAsia" w:ascii="宋体" w:hAnsi="宋体" w:cs="宋体"/>
        </w:rPr>
        <w:t>14.4、未按规定密封或未按规定标记的投标文件，一经发现将被拒绝，由此造成投标文件被误投或提前拆封的风险由投标人承担。</w:t>
      </w:r>
    </w:p>
    <w:p>
      <w:pPr>
        <w:pStyle w:val="27"/>
        <w:spacing w:before="0"/>
        <w:ind w:firstLine="480"/>
        <w:rPr>
          <w:rFonts w:ascii="宋体" w:hAnsi="宋体" w:cs="宋体"/>
        </w:rPr>
      </w:pPr>
      <w:r>
        <w:rPr>
          <w:rFonts w:hint="eastAsia" w:ascii="宋体" w:hAnsi="宋体" w:cs="宋体"/>
        </w:rPr>
        <w:t>14.5、投标人在投标截止时间前将投标文件送至招标采购单位指定地点。</w:t>
      </w:r>
    </w:p>
    <w:p>
      <w:pPr>
        <w:pStyle w:val="27"/>
        <w:spacing w:before="0"/>
        <w:ind w:firstLine="480"/>
        <w:rPr>
          <w:rFonts w:ascii="宋体" w:hAnsi="宋体" w:cs="宋体"/>
        </w:rPr>
      </w:pPr>
      <w:r>
        <w:rPr>
          <w:rFonts w:hint="eastAsia" w:ascii="宋体" w:hAnsi="宋体" w:cs="宋体"/>
        </w:rPr>
        <w:t>14.6、投标文件一经拆封不予退回</w:t>
      </w:r>
      <w:r>
        <w:rPr>
          <w:rFonts w:hint="eastAsia" w:ascii="宋体" w:hAnsi="宋体" w:cs="宋体"/>
          <w:bCs/>
        </w:rPr>
        <w:t>（法律法规另有规定的除外）</w:t>
      </w:r>
      <w:r>
        <w:rPr>
          <w:rFonts w:hint="eastAsia" w:ascii="宋体" w:hAnsi="宋体" w:cs="宋体"/>
        </w:rPr>
        <w:t>。</w:t>
      </w:r>
    </w:p>
    <w:p>
      <w:pPr>
        <w:adjustRightInd w:val="0"/>
        <w:snapToGrid w:val="0"/>
        <w:spacing w:line="360" w:lineRule="auto"/>
        <w:rPr>
          <w:rFonts w:ascii="宋体" w:hAnsi="宋体" w:cs="宋体"/>
          <w:sz w:val="24"/>
        </w:rPr>
      </w:pPr>
      <w:r>
        <w:rPr>
          <w:rFonts w:hint="eastAsia" w:ascii="宋体" w:hAnsi="宋体" w:cs="宋体"/>
          <w:b/>
          <w:sz w:val="24"/>
        </w:rPr>
        <w:t>15、递交投标文件的截止时间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15.1、所有投标文件必须按招标文件规定的投标截止时间之前送至招标采购单位指定地点。</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15.2、招标采购单位将拒绝在投标截止时间后递交的投标文件。</w:t>
      </w:r>
    </w:p>
    <w:p>
      <w:pPr>
        <w:adjustRightInd w:val="0"/>
        <w:snapToGrid w:val="0"/>
        <w:spacing w:line="360" w:lineRule="auto"/>
        <w:rPr>
          <w:rFonts w:ascii="宋体" w:hAnsi="宋体" w:cs="宋体"/>
          <w:b/>
          <w:sz w:val="24"/>
        </w:rPr>
      </w:pPr>
      <w:r>
        <w:rPr>
          <w:rFonts w:hint="eastAsia" w:ascii="宋体" w:hAnsi="宋体" w:cs="宋体"/>
          <w:b/>
          <w:sz w:val="24"/>
        </w:rPr>
        <w:t>16、投标文件的修改和撤回</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五、 开标</w:t>
      </w:r>
    </w:p>
    <w:p>
      <w:pPr>
        <w:adjustRightInd w:val="0"/>
        <w:snapToGrid w:val="0"/>
        <w:spacing w:line="360" w:lineRule="auto"/>
        <w:rPr>
          <w:rFonts w:ascii="宋体" w:hAnsi="宋体" w:cs="宋体"/>
          <w:b/>
          <w:sz w:val="24"/>
        </w:rPr>
      </w:pPr>
      <w:r>
        <w:rPr>
          <w:rFonts w:hint="eastAsia" w:ascii="宋体" w:hAnsi="宋体" w:cs="宋体"/>
          <w:b/>
          <w:sz w:val="24"/>
        </w:rPr>
        <w:t>17、开标准备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采购代理机构将在规定的时间和地点进行开标，投标人的法定代表人或其授权代表应准时参加开标会议并签到，主动出示本人的有效身份证件由采购代理机构验证确认，否则视同未派代表参加开标大会，事后不得对采购相关人员、开标过程和开标结果提出异议。</w:t>
      </w:r>
    </w:p>
    <w:p>
      <w:pPr>
        <w:adjustRightInd w:val="0"/>
        <w:snapToGrid w:val="0"/>
        <w:spacing w:line="360" w:lineRule="auto"/>
        <w:rPr>
          <w:rFonts w:ascii="宋体" w:hAnsi="宋体" w:cs="宋体"/>
          <w:b/>
          <w:sz w:val="24"/>
        </w:rPr>
      </w:pPr>
      <w:r>
        <w:rPr>
          <w:rFonts w:hint="eastAsia" w:ascii="宋体" w:hAnsi="宋体" w:cs="宋体"/>
          <w:b/>
          <w:sz w:val="24"/>
        </w:rPr>
        <w:t>18、开标程序：</w:t>
      </w:r>
    </w:p>
    <w:p>
      <w:pPr>
        <w:spacing w:line="360" w:lineRule="auto"/>
        <w:ind w:firstLine="480" w:firstLineChars="200"/>
        <w:rPr>
          <w:rFonts w:ascii="宋体" w:hAnsi="宋体" w:cs="宋体"/>
          <w:sz w:val="24"/>
        </w:rPr>
      </w:pPr>
      <w:r>
        <w:rPr>
          <w:rFonts w:hint="eastAsia" w:ascii="宋体" w:hAnsi="宋体" w:cs="宋体"/>
          <w:sz w:val="24"/>
        </w:rPr>
        <w:t>18.1、参加开标大会的</w:t>
      </w:r>
      <w:r>
        <w:rPr>
          <w:rFonts w:hint="eastAsia" w:ascii="宋体" w:hAnsi="宋体" w:cs="宋体"/>
          <w:kern w:val="0"/>
          <w:sz w:val="24"/>
        </w:rPr>
        <w:t>投标人应签署不存在影响公平竞争的《政府采购活动现场确认声明书》。未参加开标大会，但被确定为中标供应商的，应补签《政府采购活动现场确认声明书》。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18.3、商务技术评分结束后，开报价文件，由投标人代表检查各报价文件的密封情况。确认无误后，工作人员当众拆封报价文件，并清点报价文件正、副本数量，若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18.4、开标会结束。</w:t>
      </w:r>
    </w:p>
    <w:p>
      <w:pPr>
        <w:pStyle w:val="27"/>
        <w:spacing w:before="0"/>
        <w:ind w:firstLine="480"/>
        <w:rPr>
          <w:rFonts w:ascii="宋体" w:hAnsi="宋体" w:cs="宋体"/>
          <w:b/>
          <w:sz w:val="32"/>
        </w:rPr>
      </w:pPr>
      <w:r>
        <w:rPr>
          <w:rFonts w:hint="eastAsia" w:ascii="宋体" w:hAnsi="宋体" w:cs="宋体"/>
          <w:szCs w:val="24"/>
        </w:rPr>
        <w:t xml:space="preserve">                       </w:t>
      </w:r>
      <w:r>
        <w:rPr>
          <w:rFonts w:hint="eastAsia" w:ascii="宋体" w:hAnsi="宋体" w:cs="宋体"/>
          <w:b/>
          <w:bCs/>
          <w:szCs w:val="24"/>
        </w:rPr>
        <w:t xml:space="preserve">     六、资格审查</w:t>
      </w:r>
    </w:p>
    <w:p>
      <w:pPr>
        <w:pStyle w:val="27"/>
        <w:spacing w:before="0"/>
        <w:ind w:firstLine="0" w:firstLineChars="0"/>
        <w:rPr>
          <w:rFonts w:ascii="宋体" w:hAnsi="宋体" w:cs="宋体"/>
          <w:b/>
          <w:szCs w:val="24"/>
        </w:rPr>
      </w:pPr>
      <w:r>
        <w:rPr>
          <w:rFonts w:hint="eastAsia" w:ascii="宋体" w:hAnsi="宋体" w:cs="宋体"/>
          <w:b/>
          <w:szCs w:val="24"/>
        </w:rPr>
        <w:t>19、资格审查</w:t>
      </w:r>
    </w:p>
    <w:p>
      <w:pPr>
        <w:pStyle w:val="27"/>
        <w:spacing w:before="0"/>
        <w:ind w:firstLine="480"/>
        <w:rPr>
          <w:rFonts w:ascii="宋体" w:hAnsi="宋体" w:cs="宋体"/>
          <w:szCs w:val="24"/>
        </w:rPr>
      </w:pPr>
      <w:r>
        <w:rPr>
          <w:rFonts w:hint="eastAsia" w:ascii="宋体" w:hAnsi="宋体" w:cs="宋体"/>
          <w:szCs w:val="24"/>
        </w:rPr>
        <w:t>19.1、开标结束后，采购人或采购代理机构依法对投标人的资格进行审查。</w:t>
      </w:r>
    </w:p>
    <w:p>
      <w:pPr>
        <w:pStyle w:val="27"/>
        <w:ind w:firstLine="480"/>
        <w:rPr>
          <w:rFonts w:ascii="宋体" w:hAnsi="宋体" w:cs="宋体"/>
        </w:rPr>
      </w:pPr>
      <w:r>
        <w:rPr>
          <w:rFonts w:hint="eastAsia" w:ascii="宋体" w:hAnsi="宋体" w:cs="宋体"/>
        </w:rPr>
        <w:t>19.2、</w:t>
      </w:r>
      <w:r>
        <w:rPr>
          <w:rFonts w:hint="eastAsia" w:ascii="宋体" w:hAnsi="宋体" w:cs="宋体"/>
          <w:szCs w:val="24"/>
        </w:rPr>
        <w:t>投标人未按照招标文件要求提供</w:t>
      </w:r>
      <w:r>
        <w:rPr>
          <w:rFonts w:hint="eastAsia" w:ascii="宋体" w:hAnsi="宋体" w:cs="宋体"/>
        </w:rPr>
        <w:t>资格条件相应的</w:t>
      </w:r>
      <w:r>
        <w:rPr>
          <w:rFonts w:hint="eastAsia" w:ascii="宋体" w:hAnsi="宋体" w:cs="宋体"/>
          <w:szCs w:val="24"/>
        </w:rPr>
        <w:t>有效资格证明材料的，视为</w:t>
      </w:r>
      <w:r>
        <w:rPr>
          <w:rFonts w:hint="eastAsia" w:ascii="宋体" w:hAnsi="宋体" w:cs="宋体"/>
        </w:rPr>
        <w:t>投标人不具备招标文件中规定的资格要求，其投标无效。</w:t>
      </w:r>
    </w:p>
    <w:p>
      <w:pPr>
        <w:adjustRightInd w:val="0"/>
        <w:snapToGrid w:val="0"/>
        <w:spacing w:line="360" w:lineRule="auto"/>
        <w:jc w:val="center"/>
        <w:rPr>
          <w:rFonts w:ascii="宋体" w:hAnsi="宋体" w:cs="宋体"/>
          <w:b/>
          <w:bCs/>
          <w:sz w:val="24"/>
        </w:rPr>
      </w:pPr>
      <w:r>
        <w:rPr>
          <w:rFonts w:hint="eastAsia" w:ascii="宋体" w:hAnsi="宋体" w:cs="宋体"/>
          <w:b/>
          <w:bCs/>
          <w:sz w:val="24"/>
        </w:rPr>
        <w:t>七、评标</w:t>
      </w:r>
    </w:p>
    <w:p>
      <w:pPr>
        <w:adjustRightInd w:val="0"/>
        <w:snapToGrid w:val="0"/>
        <w:spacing w:line="360" w:lineRule="auto"/>
        <w:rPr>
          <w:rFonts w:ascii="宋体" w:hAnsi="宋体" w:cs="宋体"/>
          <w:b/>
          <w:sz w:val="24"/>
        </w:rPr>
      </w:pPr>
      <w:r>
        <w:rPr>
          <w:rFonts w:hint="eastAsia" w:ascii="宋体" w:hAnsi="宋体" w:cs="宋体"/>
          <w:b/>
          <w:sz w:val="24"/>
        </w:rPr>
        <w:t>20、组建评标委员会</w:t>
      </w:r>
    </w:p>
    <w:p>
      <w:pPr>
        <w:pStyle w:val="11"/>
        <w:spacing w:line="360" w:lineRule="auto"/>
        <w:ind w:firstLine="470" w:firstLineChars="196"/>
        <w:rPr>
          <w:rFonts w:hAnsi="宋体" w:cs="宋体"/>
          <w:sz w:val="24"/>
          <w:szCs w:val="24"/>
        </w:rPr>
      </w:pPr>
      <w:r>
        <w:rPr>
          <w:rFonts w:hint="eastAsia" w:hAnsi="宋体" w:cs="宋体"/>
          <w:sz w:val="24"/>
          <w:szCs w:val="24"/>
        </w:rPr>
        <w:t>项目评标委员会根据相关规定由采购人代表和有关技术、经济等方面的专家组成，成员人数应当为5人</w:t>
      </w:r>
      <w:r>
        <w:rPr>
          <w:rFonts w:hint="eastAsia" w:hAnsi="宋体" w:cs="宋体"/>
          <w:sz w:val="24"/>
        </w:rPr>
        <w:t>及</w:t>
      </w:r>
      <w:r>
        <w:rPr>
          <w:rFonts w:hint="eastAsia" w:hAnsi="宋体" w:cs="宋体"/>
          <w:sz w:val="24"/>
          <w:szCs w:val="24"/>
        </w:rPr>
        <w:t>以上单数。</w:t>
      </w:r>
    </w:p>
    <w:p>
      <w:pPr>
        <w:adjustRightInd w:val="0"/>
        <w:snapToGrid w:val="0"/>
        <w:spacing w:line="360" w:lineRule="auto"/>
        <w:rPr>
          <w:rFonts w:ascii="宋体" w:hAnsi="宋体" w:cs="宋体"/>
          <w:b/>
          <w:sz w:val="24"/>
        </w:rPr>
      </w:pPr>
      <w:r>
        <w:rPr>
          <w:rFonts w:hint="eastAsia" w:ascii="宋体" w:hAnsi="宋体" w:cs="宋体"/>
          <w:b/>
          <w:sz w:val="24"/>
        </w:rPr>
        <w:t>21、评标的方式</w:t>
      </w:r>
    </w:p>
    <w:p>
      <w:pPr>
        <w:pStyle w:val="11"/>
        <w:spacing w:line="360" w:lineRule="auto"/>
        <w:ind w:firstLine="470" w:firstLineChars="196"/>
        <w:rPr>
          <w:rFonts w:hAnsi="宋体" w:cs="宋体"/>
          <w:sz w:val="24"/>
          <w:szCs w:val="24"/>
        </w:rPr>
      </w:pPr>
      <w:r>
        <w:rPr>
          <w:rFonts w:hint="eastAsia" w:hAnsi="宋体" w:cs="宋体"/>
          <w:sz w:val="24"/>
          <w:szCs w:val="24"/>
        </w:rPr>
        <w:t>本项目采用不公开方式评标，评标的依据为招标文件和投标文件。</w:t>
      </w:r>
    </w:p>
    <w:p>
      <w:pPr>
        <w:adjustRightInd w:val="0"/>
        <w:snapToGrid w:val="0"/>
        <w:spacing w:line="360" w:lineRule="auto"/>
        <w:rPr>
          <w:rFonts w:ascii="宋体" w:hAnsi="宋体" w:cs="宋体"/>
          <w:b/>
          <w:sz w:val="24"/>
        </w:rPr>
      </w:pPr>
      <w:r>
        <w:rPr>
          <w:rFonts w:hint="eastAsia" w:ascii="宋体" w:hAnsi="宋体" w:cs="宋体"/>
          <w:b/>
          <w:sz w:val="24"/>
        </w:rPr>
        <w:t>22、评标程序</w:t>
      </w:r>
    </w:p>
    <w:p>
      <w:pPr>
        <w:pStyle w:val="11"/>
        <w:spacing w:line="360" w:lineRule="auto"/>
        <w:ind w:firstLine="470" w:firstLineChars="196"/>
        <w:rPr>
          <w:rFonts w:hAnsi="宋体" w:cs="宋体"/>
          <w:sz w:val="24"/>
        </w:rPr>
      </w:pPr>
      <w:r>
        <w:rPr>
          <w:rFonts w:hint="eastAsia" w:hAnsi="宋体" w:cs="宋体"/>
          <w:sz w:val="24"/>
        </w:rPr>
        <w:t>22.1、本项目评标一般将按以下程序进行：投标文件符合性审查、澄清有关问题、投标文件技术与商务部分的比较与评审、报价文件的比较与评审、推荐中标投标人和编写评标报告等。</w:t>
      </w:r>
    </w:p>
    <w:p>
      <w:pPr>
        <w:pStyle w:val="11"/>
        <w:spacing w:line="360" w:lineRule="auto"/>
        <w:ind w:firstLine="470" w:firstLineChars="196"/>
        <w:rPr>
          <w:rFonts w:hAnsi="宋体" w:cs="宋体"/>
          <w:sz w:val="24"/>
        </w:rPr>
      </w:pPr>
      <w:r>
        <w:rPr>
          <w:rFonts w:hint="eastAsia" w:hAnsi="宋体" w:cs="宋体"/>
          <w:sz w:val="24"/>
        </w:rPr>
        <w:t>22.2、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11"/>
        <w:spacing w:line="360" w:lineRule="auto"/>
        <w:ind w:firstLine="470" w:firstLineChars="196"/>
        <w:rPr>
          <w:rFonts w:hAnsi="宋体" w:cs="宋体"/>
          <w:sz w:val="24"/>
        </w:rPr>
      </w:pPr>
      <w:r>
        <w:rPr>
          <w:rFonts w:hint="eastAsia" w:hAnsi="宋体" w:cs="宋体"/>
          <w:sz w:val="24"/>
        </w:rPr>
        <w:t>22.3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11"/>
        <w:spacing w:line="360" w:lineRule="auto"/>
        <w:ind w:firstLine="470" w:firstLineChars="196"/>
        <w:rPr>
          <w:rFonts w:hAnsi="宋体" w:cs="宋体"/>
          <w:sz w:val="24"/>
        </w:rPr>
      </w:pPr>
      <w:r>
        <w:rPr>
          <w:rFonts w:hint="eastAsia" w:hAnsi="宋体" w:cs="宋体"/>
          <w:sz w:val="24"/>
        </w:rPr>
        <w:t>22.4、比较与评审。按招标文件中规定的评标方法和标准，对资格性检查和符合性审查合格的投标文件进行商务、技术、价格比较和评审。</w:t>
      </w:r>
    </w:p>
    <w:p>
      <w:pPr>
        <w:pStyle w:val="11"/>
        <w:spacing w:line="360" w:lineRule="auto"/>
        <w:ind w:firstLine="470" w:firstLineChars="196"/>
        <w:rPr>
          <w:rFonts w:hAnsi="宋体" w:cs="宋体"/>
          <w:sz w:val="24"/>
        </w:rPr>
      </w:pPr>
      <w:r>
        <w:rPr>
          <w:rFonts w:hint="eastAsia" w:hAnsi="宋体" w:cs="宋体"/>
          <w:sz w:val="24"/>
        </w:rPr>
        <w:t>22.5、推荐中标候选人。根据评标情况，推荐中标候选人。</w:t>
      </w:r>
    </w:p>
    <w:p>
      <w:pPr>
        <w:adjustRightInd w:val="0"/>
        <w:snapToGrid w:val="0"/>
        <w:spacing w:line="360" w:lineRule="auto"/>
        <w:rPr>
          <w:rFonts w:ascii="宋体" w:hAnsi="宋体" w:cs="宋体"/>
          <w:b/>
          <w:sz w:val="24"/>
        </w:rPr>
      </w:pPr>
      <w:r>
        <w:rPr>
          <w:rFonts w:hint="eastAsia" w:ascii="宋体" w:hAnsi="宋体" w:cs="宋体"/>
          <w:b/>
          <w:sz w:val="24"/>
        </w:rPr>
        <w:t>23、错误修正</w:t>
      </w:r>
    </w:p>
    <w:p>
      <w:pPr>
        <w:spacing w:line="360" w:lineRule="auto"/>
        <w:ind w:firstLine="360"/>
        <w:rPr>
          <w:rFonts w:ascii="宋体" w:hAnsi="宋体" w:cs="宋体"/>
          <w:bCs/>
          <w:sz w:val="24"/>
        </w:rPr>
      </w:pPr>
      <w:r>
        <w:rPr>
          <w:rFonts w:hint="eastAsia" w:ascii="宋体" w:hAnsi="宋体" w:cs="宋体"/>
          <w:bCs/>
          <w:sz w:val="24"/>
        </w:rPr>
        <w:t>投标文件报价出现前后不一致的，按照下列规定修正：</w:t>
      </w:r>
    </w:p>
    <w:p>
      <w:pPr>
        <w:spacing w:line="360" w:lineRule="auto"/>
        <w:ind w:firstLine="360"/>
        <w:rPr>
          <w:rFonts w:ascii="宋体" w:hAnsi="宋体" w:cs="宋体"/>
          <w:bCs/>
          <w:sz w:val="24"/>
        </w:rPr>
      </w:pPr>
      <w:r>
        <w:rPr>
          <w:rFonts w:hint="eastAsia" w:ascii="宋体" w:hAnsi="宋体" w:cs="宋体"/>
          <w:bCs/>
          <w:sz w:val="24"/>
        </w:rPr>
        <w:t>(1)投标文件中开标一览表(报价表)内容与投标文件中相应内容不一致的，以开标一览表(报价表)为准;</w:t>
      </w:r>
    </w:p>
    <w:p>
      <w:pPr>
        <w:spacing w:line="360" w:lineRule="auto"/>
        <w:ind w:firstLine="360"/>
        <w:rPr>
          <w:rFonts w:ascii="宋体" w:hAnsi="宋体" w:cs="宋体"/>
          <w:bCs/>
          <w:sz w:val="24"/>
        </w:rPr>
      </w:pPr>
      <w:r>
        <w:rPr>
          <w:rFonts w:hint="eastAsia" w:ascii="宋体" w:hAnsi="宋体" w:cs="宋体"/>
          <w:bCs/>
          <w:sz w:val="24"/>
        </w:rPr>
        <w:t>(2)大写金额和小写金额不一致的，以大写金额为准;</w:t>
      </w:r>
    </w:p>
    <w:p>
      <w:pPr>
        <w:spacing w:line="360" w:lineRule="auto"/>
        <w:ind w:firstLine="360"/>
        <w:rPr>
          <w:rFonts w:ascii="宋体" w:hAnsi="宋体" w:cs="宋体"/>
          <w:bCs/>
          <w:sz w:val="24"/>
        </w:rPr>
      </w:pPr>
      <w:r>
        <w:rPr>
          <w:rFonts w:hint="eastAsia" w:ascii="宋体" w:hAnsi="宋体" w:cs="宋体"/>
          <w:bCs/>
          <w:sz w:val="24"/>
        </w:rPr>
        <w:t>(3)单价金额小数点或者百分比有明显错位的，以开标一览表的总价为准，并修改单价;</w:t>
      </w:r>
    </w:p>
    <w:p>
      <w:pPr>
        <w:spacing w:line="360" w:lineRule="auto"/>
        <w:ind w:firstLine="360"/>
        <w:rPr>
          <w:rFonts w:ascii="宋体" w:hAnsi="宋体" w:cs="宋体"/>
          <w:bCs/>
          <w:sz w:val="24"/>
        </w:rPr>
      </w:pPr>
      <w:r>
        <w:rPr>
          <w:rFonts w:hint="eastAsia" w:ascii="宋体" w:hAnsi="宋体" w:cs="宋体"/>
          <w:bCs/>
          <w:sz w:val="24"/>
        </w:rPr>
        <w:t>(4)总价金额与按单价汇总金额不一致的，以单价金额计算结果为准。</w:t>
      </w:r>
    </w:p>
    <w:p>
      <w:pPr>
        <w:spacing w:line="360" w:lineRule="auto"/>
        <w:ind w:firstLine="360"/>
        <w:rPr>
          <w:rFonts w:ascii="宋体" w:hAnsi="宋体" w:cs="宋体"/>
          <w:bCs/>
          <w:sz w:val="24"/>
        </w:rPr>
      </w:pPr>
      <w:r>
        <w:rPr>
          <w:rFonts w:hint="eastAsia" w:ascii="宋体" w:hAnsi="宋体" w:cs="宋体"/>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360" w:lineRule="auto"/>
        <w:rPr>
          <w:rFonts w:ascii="宋体" w:hAnsi="宋体" w:cs="宋体"/>
          <w:sz w:val="24"/>
        </w:rPr>
      </w:pPr>
      <w:r>
        <w:rPr>
          <w:rFonts w:hint="eastAsia" w:ascii="宋体" w:hAnsi="宋体" w:cs="宋体"/>
          <w:b/>
          <w:sz w:val="24"/>
        </w:rPr>
        <w:t>24、评标方法和评标原则</w:t>
      </w:r>
    </w:p>
    <w:p>
      <w:pPr>
        <w:spacing w:line="360" w:lineRule="auto"/>
        <w:ind w:firstLine="360"/>
        <w:rPr>
          <w:rFonts w:ascii="宋体" w:hAnsi="宋体" w:cs="宋体"/>
          <w:bCs/>
          <w:sz w:val="24"/>
        </w:rPr>
      </w:pPr>
      <w:r>
        <w:rPr>
          <w:rFonts w:hint="eastAsia" w:ascii="宋体" w:hAnsi="宋体" w:cs="宋体"/>
          <w:b/>
          <w:sz w:val="24"/>
        </w:rPr>
        <w:t>24.1、综合评分法：</w:t>
      </w:r>
      <w:r>
        <w:rPr>
          <w:rFonts w:hint="eastAsia" w:ascii="宋体" w:hAnsi="宋体" w:cs="宋体"/>
          <w:bCs/>
          <w:sz w:val="24"/>
        </w:rPr>
        <w:t>是指投标文件满足招标文件全部实质性要求，且按照评审因素的量化指标评审得分最高的投标人为中标候选人的评标方法。</w:t>
      </w:r>
    </w:p>
    <w:p>
      <w:pPr>
        <w:spacing w:line="360" w:lineRule="auto"/>
        <w:ind w:firstLine="360"/>
        <w:rPr>
          <w:rFonts w:ascii="宋体" w:hAnsi="宋体" w:cs="宋体"/>
          <w:bCs/>
          <w:sz w:val="24"/>
        </w:rPr>
      </w:pPr>
      <w:r>
        <w:rPr>
          <w:rFonts w:hint="eastAsia" w:ascii="宋体" w:hAnsi="宋体" w:cs="宋体"/>
          <w:bCs/>
          <w:sz w:val="24"/>
        </w:rPr>
        <w:t>使用综合评分法的采购项目，提供的全部核心产品均为相同品牌的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360"/>
        <w:rPr>
          <w:rFonts w:ascii="宋体" w:hAnsi="宋体" w:cs="宋体"/>
          <w:bCs/>
          <w:sz w:val="24"/>
        </w:rPr>
      </w:pPr>
      <w:r>
        <w:rPr>
          <w:rFonts w:hint="eastAsia" w:ascii="宋体" w:hAnsi="宋体" w:cs="宋体"/>
          <w:b/>
          <w:sz w:val="24"/>
        </w:rPr>
        <w:t>24.</w:t>
      </w:r>
      <w:r>
        <w:rPr>
          <w:rFonts w:hint="eastAsia" w:ascii="宋体" w:hAnsi="宋体" w:cs="宋体"/>
          <w:b/>
          <w:sz w:val="24"/>
          <w:lang w:val="en-US" w:eastAsia="zh-CN"/>
        </w:rPr>
        <w:t>2</w:t>
      </w:r>
      <w:r>
        <w:rPr>
          <w:rFonts w:hint="eastAsia" w:ascii="宋体" w:hAnsi="宋体" w:cs="宋体"/>
          <w:b/>
          <w:sz w:val="24"/>
        </w:rPr>
        <w:t>、评标原则：</w:t>
      </w:r>
      <w:r>
        <w:rPr>
          <w:rFonts w:hint="eastAsia" w:ascii="宋体" w:hAnsi="宋体" w:cs="宋体"/>
          <w:bCs/>
          <w:sz w:val="24"/>
        </w:rPr>
        <w:t>评标委员会必须公平、公正、客观，不带任何倾向性；不得向外界透露任何与评标有关的内容；任何单位和个人不得干扰、影响评标的正常进行；评标委员会及有关工作人员不得私下与投标人接触。</w:t>
      </w:r>
    </w:p>
    <w:p>
      <w:pPr>
        <w:adjustRightInd w:val="0"/>
        <w:snapToGrid w:val="0"/>
        <w:spacing w:line="360" w:lineRule="auto"/>
        <w:rPr>
          <w:rFonts w:ascii="宋体" w:hAnsi="宋体" w:cs="宋体"/>
          <w:b/>
          <w:sz w:val="24"/>
        </w:rPr>
      </w:pPr>
      <w:r>
        <w:rPr>
          <w:rFonts w:hint="eastAsia" w:ascii="宋体" w:hAnsi="宋体" w:cs="宋体"/>
          <w:b/>
          <w:sz w:val="24"/>
        </w:rPr>
        <w:t>25、评标过程的监控</w:t>
      </w:r>
    </w:p>
    <w:p>
      <w:pPr>
        <w:pStyle w:val="11"/>
        <w:spacing w:line="360" w:lineRule="auto"/>
        <w:ind w:firstLine="470" w:firstLineChars="196"/>
        <w:rPr>
          <w:rFonts w:hAnsi="宋体" w:cs="宋体"/>
          <w:sz w:val="24"/>
          <w:szCs w:val="24"/>
        </w:rPr>
      </w:pPr>
      <w:r>
        <w:rPr>
          <w:rFonts w:hint="eastAsia" w:hAnsi="宋体" w:cs="宋体"/>
          <w:sz w:val="24"/>
          <w:szCs w:val="24"/>
        </w:rPr>
        <w:t>本项目评标过程实行全程录音、录像监控，投标人在评标过程中所进行的试图影响评标结果的不公正活动，可能导致其投标无效。</w:t>
      </w:r>
    </w:p>
    <w:p>
      <w:pPr>
        <w:adjustRightInd w:val="0"/>
        <w:snapToGrid w:val="0"/>
        <w:spacing w:line="360" w:lineRule="auto"/>
        <w:rPr>
          <w:rFonts w:ascii="宋体" w:hAnsi="宋体" w:cs="宋体"/>
          <w:b/>
          <w:sz w:val="24"/>
        </w:rPr>
      </w:pPr>
      <w:r>
        <w:rPr>
          <w:rFonts w:hint="eastAsia" w:ascii="宋体" w:hAnsi="宋体" w:cs="宋体"/>
          <w:b/>
          <w:sz w:val="24"/>
        </w:rPr>
        <w:t>26、无效投标的情形</w:t>
      </w:r>
    </w:p>
    <w:p>
      <w:pPr>
        <w:adjustRightInd w:val="0"/>
        <w:snapToGrid w:val="0"/>
        <w:spacing w:line="360" w:lineRule="auto"/>
        <w:rPr>
          <w:rFonts w:ascii="宋体" w:hAnsi="宋体" w:cs="宋体"/>
          <w:b/>
          <w:sz w:val="24"/>
        </w:rPr>
      </w:pPr>
      <w:r>
        <w:rPr>
          <w:rFonts w:hint="eastAsia" w:ascii="宋体" w:hAnsi="宋体" w:cs="宋体"/>
          <w:b/>
          <w:sz w:val="24"/>
        </w:rPr>
        <w:t>26.1、资格性审查无效投标的情形</w:t>
      </w:r>
    </w:p>
    <w:p>
      <w:pPr>
        <w:pStyle w:val="11"/>
        <w:spacing w:line="360" w:lineRule="auto"/>
        <w:ind w:firstLine="470" w:firstLineChars="196"/>
        <w:rPr>
          <w:rFonts w:hAnsi="宋体" w:cs="宋体"/>
          <w:sz w:val="24"/>
          <w:szCs w:val="24"/>
        </w:rPr>
      </w:pPr>
      <w:r>
        <w:rPr>
          <w:rFonts w:hint="eastAsia" w:hAnsi="宋体" w:cs="宋体"/>
          <w:sz w:val="24"/>
          <w:szCs w:val="24"/>
        </w:rPr>
        <w:t>（1）、被拒绝的投标文件；</w:t>
      </w:r>
    </w:p>
    <w:p>
      <w:pPr>
        <w:pStyle w:val="11"/>
        <w:spacing w:line="360" w:lineRule="auto"/>
        <w:ind w:firstLine="470" w:firstLineChars="196"/>
        <w:rPr>
          <w:rFonts w:hAnsi="宋体" w:cs="宋体"/>
          <w:sz w:val="24"/>
          <w:szCs w:val="24"/>
        </w:rPr>
      </w:pPr>
      <w:r>
        <w:rPr>
          <w:rFonts w:hint="eastAsia" w:hAnsi="宋体" w:cs="宋体"/>
          <w:sz w:val="24"/>
          <w:szCs w:val="24"/>
        </w:rPr>
        <w:t>（2）、未通过报名的；</w:t>
      </w:r>
    </w:p>
    <w:p>
      <w:pPr>
        <w:pStyle w:val="11"/>
        <w:spacing w:line="360" w:lineRule="auto"/>
        <w:ind w:firstLine="470" w:firstLineChars="196"/>
        <w:rPr>
          <w:rFonts w:hAnsi="宋体" w:cs="宋体"/>
          <w:sz w:val="24"/>
          <w:szCs w:val="24"/>
        </w:rPr>
      </w:pPr>
      <w:r>
        <w:rPr>
          <w:rFonts w:hint="eastAsia" w:hAnsi="宋体" w:cs="宋体"/>
          <w:sz w:val="24"/>
          <w:szCs w:val="24"/>
        </w:rPr>
        <w:t>（3）、未按规定交纳投标保证金、提供保证金收据的；</w:t>
      </w:r>
    </w:p>
    <w:p>
      <w:pPr>
        <w:pStyle w:val="11"/>
        <w:spacing w:line="360" w:lineRule="auto"/>
        <w:ind w:firstLine="470" w:firstLineChars="196"/>
        <w:rPr>
          <w:rFonts w:hAnsi="宋体" w:cs="宋体"/>
          <w:sz w:val="24"/>
          <w:szCs w:val="24"/>
        </w:rPr>
      </w:pPr>
      <w:r>
        <w:rPr>
          <w:rFonts w:hint="eastAsia" w:hAnsi="宋体" w:cs="宋体"/>
          <w:sz w:val="24"/>
          <w:szCs w:val="24"/>
        </w:rPr>
        <w:t>（4）、投标文件份数不符合要求；</w:t>
      </w:r>
    </w:p>
    <w:p>
      <w:pPr>
        <w:pStyle w:val="11"/>
        <w:spacing w:line="360" w:lineRule="auto"/>
        <w:ind w:firstLine="470" w:firstLineChars="196"/>
        <w:rPr>
          <w:rFonts w:hAnsi="宋体" w:cs="宋体"/>
          <w:sz w:val="24"/>
          <w:szCs w:val="24"/>
        </w:rPr>
      </w:pPr>
      <w:r>
        <w:rPr>
          <w:rFonts w:hint="eastAsia" w:hAnsi="宋体" w:cs="宋体"/>
          <w:sz w:val="24"/>
          <w:szCs w:val="24"/>
        </w:rPr>
        <w:t xml:space="preserve">（5）、资格证明文件不全，或者不符合招标文件标明的资格要求（参见招标公告之“五、合格投标人的资格要求”）；  </w:t>
      </w:r>
    </w:p>
    <w:p>
      <w:pPr>
        <w:pStyle w:val="11"/>
        <w:spacing w:line="360" w:lineRule="auto"/>
        <w:ind w:firstLine="470" w:firstLineChars="196"/>
        <w:rPr>
          <w:rFonts w:hAnsi="宋体" w:cs="宋体"/>
          <w:sz w:val="24"/>
          <w:szCs w:val="24"/>
        </w:rPr>
      </w:pPr>
      <w:r>
        <w:rPr>
          <w:rFonts w:hint="eastAsia" w:hAnsi="宋体" w:cs="宋体"/>
          <w:sz w:val="24"/>
          <w:szCs w:val="24"/>
        </w:rPr>
        <w:t>（6）、信用审查不通过的；</w:t>
      </w:r>
    </w:p>
    <w:p>
      <w:pPr>
        <w:adjustRightInd w:val="0"/>
        <w:snapToGrid w:val="0"/>
        <w:spacing w:line="360" w:lineRule="auto"/>
        <w:rPr>
          <w:rFonts w:ascii="宋体" w:hAnsi="宋体" w:cs="宋体"/>
          <w:sz w:val="24"/>
        </w:rPr>
      </w:pPr>
      <w:r>
        <w:rPr>
          <w:rFonts w:hint="eastAsia" w:ascii="宋体" w:hAnsi="宋体" w:cs="宋体"/>
          <w:b/>
          <w:sz w:val="24"/>
        </w:rPr>
        <w:t>26.2、符合性审查及其他无效投标的情形</w:t>
      </w:r>
    </w:p>
    <w:p>
      <w:pPr>
        <w:pStyle w:val="11"/>
        <w:spacing w:line="360" w:lineRule="auto"/>
        <w:ind w:firstLine="470" w:firstLineChars="196"/>
        <w:rPr>
          <w:rFonts w:hAnsi="宋体" w:cs="宋体"/>
          <w:sz w:val="24"/>
          <w:szCs w:val="24"/>
        </w:rPr>
      </w:pPr>
      <w:r>
        <w:rPr>
          <w:rFonts w:hint="eastAsia" w:hAnsi="宋体" w:cs="宋体"/>
          <w:sz w:val="24"/>
          <w:szCs w:val="24"/>
        </w:rPr>
        <w:t>（1）、投标文件封面、开标一览表、投标响应函、授权委托书，任意一项未加盖单位公章；</w:t>
      </w:r>
    </w:p>
    <w:p>
      <w:pPr>
        <w:pStyle w:val="11"/>
        <w:spacing w:line="360" w:lineRule="auto"/>
        <w:ind w:firstLine="470" w:firstLineChars="196"/>
        <w:rPr>
          <w:rFonts w:hAnsi="宋体" w:cs="宋体"/>
          <w:sz w:val="24"/>
          <w:szCs w:val="24"/>
        </w:rPr>
      </w:pPr>
      <w:r>
        <w:rPr>
          <w:rFonts w:hint="eastAsia" w:hAnsi="宋体" w:cs="宋体"/>
          <w:sz w:val="24"/>
          <w:szCs w:val="24"/>
        </w:rPr>
        <w:t>（2）、开标一览表或投标响应函无法定代表人（或授权代表）签字；</w:t>
      </w:r>
    </w:p>
    <w:p>
      <w:pPr>
        <w:pStyle w:val="11"/>
        <w:spacing w:line="360" w:lineRule="auto"/>
        <w:ind w:firstLine="470" w:firstLineChars="196"/>
        <w:rPr>
          <w:rFonts w:hAnsi="宋体" w:cs="宋体"/>
          <w:sz w:val="24"/>
          <w:szCs w:val="24"/>
        </w:rPr>
      </w:pPr>
      <w:r>
        <w:rPr>
          <w:rFonts w:hint="eastAsia" w:hAnsi="宋体" w:cs="宋体"/>
          <w:sz w:val="24"/>
          <w:szCs w:val="24"/>
        </w:rPr>
        <w:t>（3）、提供虚假证明材料；</w:t>
      </w:r>
    </w:p>
    <w:p>
      <w:pPr>
        <w:pStyle w:val="11"/>
        <w:spacing w:line="360" w:lineRule="auto"/>
        <w:ind w:firstLine="470" w:firstLineChars="196"/>
        <w:rPr>
          <w:rFonts w:hAnsi="宋体" w:cs="宋体"/>
          <w:sz w:val="24"/>
          <w:szCs w:val="24"/>
        </w:rPr>
      </w:pPr>
      <w:r>
        <w:rPr>
          <w:rFonts w:hint="eastAsia" w:hAnsi="宋体" w:cs="宋体"/>
          <w:sz w:val="24"/>
          <w:szCs w:val="24"/>
        </w:rPr>
        <w:t>（4）、加“▲”的分项报价表中“品名”、“数量”与采购清单不一致或有缺项的；</w:t>
      </w:r>
    </w:p>
    <w:p>
      <w:pPr>
        <w:pStyle w:val="11"/>
        <w:spacing w:line="360" w:lineRule="auto"/>
        <w:ind w:firstLine="470" w:firstLineChars="196"/>
        <w:rPr>
          <w:rFonts w:hAnsi="宋体" w:cs="宋体"/>
          <w:sz w:val="24"/>
          <w:szCs w:val="24"/>
        </w:rPr>
      </w:pPr>
      <w:r>
        <w:rPr>
          <w:rFonts w:hint="eastAsia" w:hAnsi="宋体" w:cs="宋体"/>
          <w:sz w:val="24"/>
          <w:szCs w:val="24"/>
        </w:rPr>
        <w:t>（5）、投标文件中对于采购需求中的实质性内容的响应表述不清或不响应，评标委员会不能确认为有效；</w:t>
      </w:r>
    </w:p>
    <w:p>
      <w:pPr>
        <w:pStyle w:val="11"/>
        <w:spacing w:line="360" w:lineRule="auto"/>
        <w:ind w:firstLine="470" w:firstLineChars="196"/>
        <w:rPr>
          <w:rFonts w:hAnsi="宋体" w:cs="宋体"/>
          <w:sz w:val="24"/>
          <w:szCs w:val="24"/>
        </w:rPr>
      </w:pPr>
      <w:r>
        <w:rPr>
          <w:rFonts w:hint="eastAsia" w:hAnsi="宋体" w:cs="宋体"/>
          <w:sz w:val="24"/>
          <w:szCs w:val="24"/>
        </w:rPr>
        <w:t>（6）、投标文件组成中带“▲”资料提供不全的；</w:t>
      </w:r>
    </w:p>
    <w:p>
      <w:pPr>
        <w:pStyle w:val="11"/>
        <w:spacing w:line="360" w:lineRule="auto"/>
        <w:ind w:firstLine="470" w:firstLineChars="196"/>
        <w:rPr>
          <w:rFonts w:hAnsi="宋体" w:cs="宋体"/>
          <w:sz w:val="24"/>
          <w:szCs w:val="24"/>
        </w:rPr>
      </w:pPr>
      <w:r>
        <w:rPr>
          <w:rFonts w:hint="eastAsia" w:hAnsi="宋体" w:cs="宋体"/>
          <w:sz w:val="24"/>
          <w:szCs w:val="24"/>
        </w:rPr>
        <w:t>（7）、投标技术方案不明确或存在备选（替代）投标方案；</w:t>
      </w:r>
    </w:p>
    <w:p>
      <w:pPr>
        <w:pStyle w:val="11"/>
        <w:spacing w:line="360" w:lineRule="auto"/>
        <w:ind w:firstLine="470" w:firstLineChars="196"/>
        <w:rPr>
          <w:rFonts w:hAnsi="宋体" w:cs="宋体"/>
          <w:sz w:val="24"/>
          <w:szCs w:val="24"/>
        </w:rPr>
      </w:pPr>
      <w:r>
        <w:rPr>
          <w:rFonts w:hint="eastAsia" w:hAnsi="宋体" w:cs="宋体"/>
          <w:sz w:val="24"/>
          <w:szCs w:val="24"/>
        </w:rPr>
        <w:t>（8）、未按照招标文件标明的币种报价；</w:t>
      </w:r>
    </w:p>
    <w:p>
      <w:pPr>
        <w:pStyle w:val="11"/>
        <w:spacing w:line="360" w:lineRule="auto"/>
        <w:ind w:firstLine="470" w:firstLineChars="196"/>
        <w:rPr>
          <w:rFonts w:hAnsi="宋体" w:cs="宋体"/>
          <w:sz w:val="24"/>
          <w:szCs w:val="24"/>
        </w:rPr>
      </w:pPr>
      <w:r>
        <w:rPr>
          <w:rFonts w:hint="eastAsia" w:hAnsi="宋体" w:cs="宋体"/>
          <w:sz w:val="24"/>
          <w:szCs w:val="24"/>
        </w:rPr>
        <w:t>（9）、报价超出最高限价，或者超出采购预算金额，采购人不能支付；</w:t>
      </w:r>
    </w:p>
    <w:p>
      <w:pPr>
        <w:pStyle w:val="11"/>
        <w:spacing w:line="360" w:lineRule="auto"/>
        <w:ind w:firstLine="470" w:firstLineChars="196"/>
        <w:rPr>
          <w:rFonts w:hAnsi="宋体" w:cs="宋体"/>
          <w:sz w:val="24"/>
          <w:szCs w:val="24"/>
        </w:rPr>
      </w:pPr>
      <w:r>
        <w:rPr>
          <w:rFonts w:hint="eastAsia" w:hAnsi="宋体" w:cs="宋体"/>
          <w:sz w:val="24"/>
          <w:szCs w:val="24"/>
        </w:rPr>
        <w:t>（10）、投标报价具有选择性；</w:t>
      </w:r>
    </w:p>
    <w:p>
      <w:pPr>
        <w:pStyle w:val="11"/>
        <w:spacing w:line="360" w:lineRule="auto"/>
        <w:ind w:firstLine="470" w:firstLineChars="196"/>
        <w:rPr>
          <w:rFonts w:hAnsi="宋体" w:cs="宋体"/>
          <w:sz w:val="24"/>
          <w:szCs w:val="24"/>
        </w:rPr>
      </w:pPr>
      <w:r>
        <w:rPr>
          <w:rFonts w:hint="eastAsia" w:hAnsi="宋体" w:cs="宋体"/>
          <w:sz w:val="24"/>
          <w:szCs w:val="24"/>
        </w:rPr>
        <w:t>（11）、报价文件之外其他投标文件中出现投标报价的（招标文件另有规定的除外）；</w:t>
      </w:r>
    </w:p>
    <w:p>
      <w:pPr>
        <w:pStyle w:val="11"/>
        <w:spacing w:line="360" w:lineRule="auto"/>
        <w:ind w:firstLine="470" w:firstLineChars="196"/>
        <w:rPr>
          <w:rFonts w:hAnsi="宋体" w:cs="宋体"/>
          <w:sz w:val="24"/>
          <w:szCs w:val="24"/>
        </w:rPr>
      </w:pPr>
      <w:r>
        <w:rPr>
          <w:rFonts w:hint="eastAsia" w:hAnsi="宋体" w:cs="宋体"/>
          <w:sz w:val="24"/>
          <w:szCs w:val="24"/>
        </w:rPr>
        <w:t>（12）、投标人拒绝按招标文件规定的修正原则对投标文件进行修改的；</w:t>
      </w:r>
    </w:p>
    <w:p>
      <w:pPr>
        <w:pStyle w:val="11"/>
        <w:spacing w:line="360" w:lineRule="auto"/>
        <w:ind w:firstLine="470" w:firstLineChars="196"/>
        <w:rPr>
          <w:rFonts w:hAnsi="宋体" w:cs="宋体"/>
          <w:sz w:val="24"/>
          <w:szCs w:val="24"/>
        </w:rPr>
      </w:pPr>
      <w:r>
        <w:rPr>
          <w:rFonts w:hint="eastAsia" w:hAnsi="宋体" w:cs="宋体"/>
          <w:sz w:val="24"/>
          <w:szCs w:val="24"/>
        </w:rPr>
        <w:t>（13）、投标人串通投标的；</w:t>
      </w:r>
    </w:p>
    <w:p>
      <w:pPr>
        <w:pStyle w:val="11"/>
        <w:spacing w:line="360" w:lineRule="auto"/>
        <w:ind w:firstLine="470" w:firstLineChars="196"/>
        <w:rPr>
          <w:rFonts w:hAnsi="宋体" w:cs="宋体"/>
          <w:sz w:val="24"/>
          <w:szCs w:val="24"/>
        </w:rPr>
      </w:pPr>
      <w:r>
        <w:rPr>
          <w:rFonts w:hint="eastAsia" w:hAnsi="宋体" w:cs="宋体"/>
          <w:sz w:val="24"/>
          <w:szCs w:val="24"/>
        </w:rPr>
        <w:t>（14）、本项目如需采购节能清单中的政府强制采购的节能产品的，所投产品不在节能产品政府采购清单中的；</w:t>
      </w:r>
    </w:p>
    <w:p>
      <w:pPr>
        <w:pStyle w:val="11"/>
        <w:spacing w:line="360" w:lineRule="auto"/>
        <w:ind w:firstLine="470" w:firstLineChars="196"/>
        <w:rPr>
          <w:rFonts w:hAnsi="宋体" w:cs="宋体"/>
          <w:sz w:val="24"/>
          <w:szCs w:val="24"/>
        </w:rPr>
      </w:pPr>
      <w:r>
        <w:rPr>
          <w:rFonts w:hint="eastAsia" w:hAnsi="宋体" w:cs="宋体"/>
          <w:sz w:val="24"/>
          <w:szCs w:val="24"/>
        </w:rPr>
        <w:t>（15）、投标文件中承诺的投标有效期少于招标文件中载明的投标有效期的；</w:t>
      </w:r>
    </w:p>
    <w:p>
      <w:pPr>
        <w:pStyle w:val="11"/>
        <w:spacing w:line="360" w:lineRule="auto"/>
        <w:ind w:firstLine="470" w:firstLineChars="196"/>
        <w:rPr>
          <w:rFonts w:hAnsi="宋体" w:cs="宋体"/>
          <w:sz w:val="24"/>
          <w:szCs w:val="24"/>
        </w:rPr>
      </w:pPr>
      <w:r>
        <w:rPr>
          <w:rFonts w:hint="eastAsia" w:hAnsi="宋体" w:cs="宋体"/>
          <w:sz w:val="24"/>
          <w:szCs w:val="24"/>
        </w:rPr>
        <w:t>（16）、投标文件含有采购人不能接受的附加条件的;</w:t>
      </w:r>
    </w:p>
    <w:p>
      <w:pPr>
        <w:pStyle w:val="11"/>
        <w:spacing w:line="360" w:lineRule="auto"/>
        <w:ind w:firstLine="470" w:firstLineChars="196"/>
        <w:rPr>
          <w:rFonts w:hAnsi="宋体" w:cs="宋体"/>
          <w:sz w:val="24"/>
          <w:szCs w:val="24"/>
        </w:rPr>
      </w:pPr>
      <w:r>
        <w:rPr>
          <w:rFonts w:hint="eastAsia" w:hAnsi="宋体" w:cs="宋体"/>
          <w:sz w:val="24"/>
          <w:szCs w:val="24"/>
        </w:rPr>
        <w:t>（17）、不符合法律、法规等相关规定或投标文件有招标采购单位不能接受的附加条件；</w:t>
      </w:r>
    </w:p>
    <w:p>
      <w:pPr>
        <w:pStyle w:val="11"/>
        <w:spacing w:line="360" w:lineRule="auto"/>
        <w:ind w:firstLine="470" w:firstLineChars="196"/>
        <w:rPr>
          <w:rFonts w:hAnsi="宋体" w:cs="宋体"/>
          <w:b/>
          <w:sz w:val="24"/>
        </w:rPr>
      </w:pPr>
      <w:r>
        <w:rPr>
          <w:rFonts w:hint="eastAsia" w:hAnsi="宋体" w:cs="宋体"/>
          <w:sz w:val="24"/>
          <w:szCs w:val="24"/>
        </w:rPr>
        <w:t xml:space="preserve">（18）、根据招标文件、相关法律法规等要求，评标委员会认为应当作无效投标处理的其他情况。 </w:t>
      </w:r>
      <w:r>
        <w:rPr>
          <w:rFonts w:hint="eastAsia" w:hAnsi="宋体" w:cs="宋体"/>
          <w:b/>
          <w:bCs/>
          <w:sz w:val="24"/>
        </w:rPr>
        <w:t xml:space="preserve"> </w:t>
      </w:r>
      <w:r>
        <w:rPr>
          <w:rFonts w:hint="eastAsia" w:hAnsi="宋体" w:cs="宋体"/>
          <w:b/>
          <w:sz w:val="24"/>
        </w:rPr>
        <w:t xml:space="preserve">                                                                                                    </w:t>
      </w:r>
    </w:p>
    <w:p>
      <w:pPr>
        <w:pStyle w:val="10"/>
        <w:spacing w:line="360" w:lineRule="auto"/>
        <w:ind w:firstLine="0"/>
        <w:rPr>
          <w:rFonts w:ascii="宋体" w:hAnsi="宋体" w:cs="宋体"/>
          <w:b/>
          <w:sz w:val="24"/>
        </w:rPr>
      </w:pPr>
      <w:r>
        <w:rPr>
          <w:rFonts w:hint="eastAsia" w:ascii="宋体" w:hAnsi="宋体" w:cs="宋体"/>
          <w:b/>
          <w:sz w:val="24"/>
        </w:rPr>
        <w:t>27、废标</w:t>
      </w:r>
    </w:p>
    <w:p>
      <w:pPr>
        <w:pStyle w:val="27"/>
        <w:spacing w:before="0"/>
        <w:ind w:firstLine="600" w:firstLineChars="250"/>
        <w:rPr>
          <w:rFonts w:ascii="宋体" w:hAnsi="宋体" w:cs="宋体"/>
          <w:szCs w:val="24"/>
          <w:lang w:val="zh-CN"/>
        </w:rPr>
      </w:pPr>
      <w:r>
        <w:rPr>
          <w:rFonts w:hint="eastAsia" w:ascii="宋体" w:hAnsi="宋体" w:cs="宋体"/>
          <w:szCs w:val="24"/>
          <w:lang w:val="zh-CN"/>
        </w:rPr>
        <w:t>根据《中华人民共和国政府采购法》第三十六条等条款之规定，在招标采购中，出现下列情形之一的，应予废标：</w:t>
      </w:r>
    </w:p>
    <w:p>
      <w:pPr>
        <w:widowControl/>
        <w:spacing w:line="360" w:lineRule="auto"/>
        <w:jc w:val="left"/>
        <w:rPr>
          <w:rFonts w:ascii="宋体" w:hAnsi="宋体" w:cs="宋体"/>
          <w:kern w:val="0"/>
          <w:sz w:val="24"/>
        </w:rPr>
      </w:pPr>
      <w:r>
        <w:rPr>
          <w:rFonts w:hint="eastAsia" w:ascii="宋体" w:hAnsi="宋体" w:cs="宋体"/>
          <w:kern w:val="0"/>
          <w:sz w:val="24"/>
        </w:rPr>
        <w:t xml:space="preserve">    （一）符合专业条件的供应商或者对招标文件作实质响应的供应商不足三家的；</w:t>
      </w:r>
    </w:p>
    <w:p>
      <w:pPr>
        <w:widowControl/>
        <w:spacing w:line="360" w:lineRule="auto"/>
        <w:jc w:val="left"/>
        <w:rPr>
          <w:rFonts w:ascii="宋体" w:hAnsi="宋体" w:cs="宋体"/>
          <w:kern w:val="0"/>
          <w:sz w:val="24"/>
        </w:rPr>
      </w:pPr>
      <w:r>
        <w:rPr>
          <w:rFonts w:hint="eastAsia" w:ascii="宋体" w:hAnsi="宋体" w:cs="宋体"/>
          <w:kern w:val="0"/>
          <w:sz w:val="24"/>
        </w:rPr>
        <w:t>　　（二）出现影响采购公正的违法、违规行为的；</w:t>
      </w:r>
    </w:p>
    <w:p>
      <w:pPr>
        <w:widowControl/>
        <w:spacing w:line="360" w:lineRule="auto"/>
        <w:jc w:val="left"/>
        <w:rPr>
          <w:rFonts w:ascii="宋体" w:hAnsi="宋体" w:cs="宋体"/>
          <w:kern w:val="0"/>
          <w:sz w:val="24"/>
        </w:rPr>
      </w:pPr>
      <w:r>
        <w:rPr>
          <w:rFonts w:hint="eastAsia" w:ascii="宋体" w:hAnsi="宋体" w:cs="宋体"/>
          <w:kern w:val="0"/>
          <w:sz w:val="24"/>
        </w:rPr>
        <w:t>　　（三）投标人的报价均超过了采购预算，采购人不能支付的；</w:t>
      </w:r>
    </w:p>
    <w:p>
      <w:pPr>
        <w:widowControl/>
        <w:spacing w:line="360" w:lineRule="auto"/>
        <w:jc w:val="left"/>
        <w:rPr>
          <w:rFonts w:ascii="宋体" w:hAnsi="宋体" w:cs="宋体"/>
          <w:kern w:val="0"/>
          <w:sz w:val="24"/>
        </w:rPr>
      </w:pPr>
      <w:r>
        <w:rPr>
          <w:rFonts w:hint="eastAsia" w:ascii="宋体" w:hAnsi="宋体" w:cs="宋体"/>
          <w:kern w:val="0"/>
          <w:sz w:val="24"/>
        </w:rPr>
        <w:t>　　（四）因重大变故，采购任务取消的。</w:t>
      </w:r>
    </w:p>
    <w:p>
      <w:pPr>
        <w:autoSpaceDE w:val="0"/>
        <w:autoSpaceDN w:val="0"/>
        <w:adjustRightInd w:val="0"/>
        <w:spacing w:line="360" w:lineRule="auto"/>
        <w:ind w:firstLine="570"/>
        <w:rPr>
          <w:rFonts w:ascii="宋体" w:hAnsi="宋体" w:cs="宋体"/>
          <w:kern w:val="0"/>
          <w:sz w:val="24"/>
          <w:lang w:val="zh-CN"/>
        </w:rPr>
      </w:pPr>
      <w:r>
        <w:rPr>
          <w:rFonts w:hint="eastAsia" w:ascii="宋体" w:hAnsi="宋体" w:cs="宋体"/>
          <w:kern w:val="0"/>
          <w:sz w:val="24"/>
          <w:lang w:val="zh-CN"/>
        </w:rPr>
        <w:t>第一条款按照有关法律法规，除作为废标外可经批准后继续按原采购方式进行或采取其它采购方式。废标后，招标采购单位将就废标理由通知所有投标人。</w:t>
      </w:r>
    </w:p>
    <w:p>
      <w:pPr>
        <w:pStyle w:val="10"/>
        <w:spacing w:line="360" w:lineRule="auto"/>
        <w:ind w:firstLine="0"/>
        <w:rPr>
          <w:rFonts w:ascii="宋体" w:hAnsi="宋体" w:cs="宋体"/>
          <w:b/>
          <w:sz w:val="24"/>
        </w:rPr>
      </w:pPr>
      <w:r>
        <w:rPr>
          <w:rFonts w:hint="eastAsia" w:ascii="宋体" w:hAnsi="宋体" w:cs="宋体"/>
          <w:b/>
          <w:sz w:val="24"/>
        </w:rPr>
        <w:t>28、评标内容的保密</w:t>
      </w:r>
    </w:p>
    <w:p>
      <w:pPr>
        <w:pStyle w:val="27"/>
        <w:spacing w:before="0"/>
        <w:ind w:firstLine="480"/>
        <w:rPr>
          <w:rFonts w:ascii="宋体" w:hAnsi="宋体" w:cs="宋体"/>
          <w:szCs w:val="24"/>
        </w:rPr>
      </w:pPr>
      <w:r>
        <w:rPr>
          <w:rFonts w:hint="eastAsia" w:ascii="宋体" w:hAnsi="宋体" w:cs="宋体"/>
          <w:szCs w:val="24"/>
        </w:rPr>
        <w:t>28.1、凡属于审查、澄清、评价和比较投标的所有资料，不应向投标人或与评标无关的其他人泄漏。</w:t>
      </w:r>
    </w:p>
    <w:p>
      <w:pPr>
        <w:pStyle w:val="27"/>
        <w:spacing w:before="0"/>
        <w:ind w:firstLine="480"/>
        <w:rPr>
          <w:rFonts w:ascii="宋体" w:hAnsi="宋体" w:cs="宋体"/>
          <w:szCs w:val="24"/>
        </w:rPr>
      </w:pPr>
      <w:r>
        <w:rPr>
          <w:rFonts w:hint="eastAsia" w:ascii="宋体" w:hAnsi="宋体" w:cs="宋体"/>
          <w:szCs w:val="24"/>
        </w:rPr>
        <w:t>28.2、在投标文件的审查、澄清、评价和比较以及确定中标单位过程中，投标人对采购代理机构和评标委员会施加影响的违规行为，都将导致其不被推荐为中标候选人。</w:t>
      </w:r>
    </w:p>
    <w:p>
      <w:pPr>
        <w:pStyle w:val="27"/>
        <w:spacing w:before="0"/>
        <w:ind w:firstLine="480"/>
        <w:rPr>
          <w:rFonts w:ascii="宋体" w:hAnsi="宋体" w:cs="宋体"/>
          <w:szCs w:val="24"/>
        </w:rPr>
      </w:pPr>
    </w:p>
    <w:p>
      <w:pPr>
        <w:pStyle w:val="27"/>
        <w:spacing w:before="0"/>
        <w:ind w:firstLine="482"/>
        <w:jc w:val="center"/>
        <w:rPr>
          <w:rFonts w:ascii="宋体" w:hAnsi="宋体" w:cs="宋体"/>
          <w:b/>
          <w:szCs w:val="24"/>
        </w:rPr>
      </w:pPr>
      <w:r>
        <w:rPr>
          <w:rFonts w:hint="eastAsia" w:ascii="宋体" w:hAnsi="宋体" w:cs="宋体"/>
          <w:b/>
          <w:szCs w:val="24"/>
        </w:rPr>
        <w:t>八、定标</w:t>
      </w:r>
    </w:p>
    <w:p>
      <w:pPr>
        <w:pStyle w:val="27"/>
        <w:spacing w:before="0"/>
        <w:ind w:firstLine="0" w:firstLineChars="0"/>
        <w:rPr>
          <w:rFonts w:ascii="宋体" w:hAnsi="宋体" w:cs="宋体"/>
          <w:b/>
          <w:szCs w:val="24"/>
        </w:rPr>
      </w:pPr>
      <w:r>
        <w:rPr>
          <w:rFonts w:hint="eastAsia" w:ascii="宋体" w:hAnsi="宋体" w:cs="宋体"/>
          <w:b/>
          <w:szCs w:val="24"/>
        </w:rPr>
        <w:t xml:space="preserve">29、 </w:t>
      </w:r>
      <w:r>
        <w:rPr>
          <w:rFonts w:hint="eastAsia" w:ascii="宋体" w:hAnsi="宋体" w:cs="宋体"/>
          <w:b/>
        </w:rPr>
        <w:t>推荐中标单位</w:t>
      </w:r>
    </w:p>
    <w:p>
      <w:pPr>
        <w:pStyle w:val="27"/>
        <w:spacing w:before="0"/>
        <w:ind w:firstLine="480"/>
        <w:rPr>
          <w:rFonts w:ascii="宋体" w:hAnsi="宋体" w:cs="宋体"/>
        </w:rPr>
      </w:pPr>
      <w:r>
        <w:rPr>
          <w:rFonts w:hint="eastAsia" w:ascii="宋体" w:hAnsi="宋体" w:cs="宋体"/>
          <w:szCs w:val="24"/>
        </w:rPr>
        <w:t>29.1、</w:t>
      </w:r>
      <w:r>
        <w:rPr>
          <w:rFonts w:hint="eastAsia" w:ascii="宋体" w:hAnsi="宋体" w:cs="宋体"/>
          <w:b/>
          <w:bCs/>
          <w:szCs w:val="24"/>
        </w:rPr>
        <w:t>综合评分法：</w:t>
      </w:r>
      <w:r>
        <w:rPr>
          <w:rFonts w:hint="eastAsia" w:ascii="宋体" w:hAnsi="宋体" w:cs="宋体"/>
          <w:szCs w:val="24"/>
        </w:rPr>
        <w:t>评标委员会将根据招标文件和有关规定，履行评标工作职责，以评标原则和评标办法为标准，全面衡量各投标人对招标文件的响应情况后，对实质上响应招标要求的投标人，以招标文件规定的</w:t>
      </w:r>
      <w:r>
        <w:rPr>
          <w:rFonts w:hint="eastAsia" w:ascii="宋体" w:hAnsi="宋体" w:cs="宋体"/>
          <w:lang w:val="zh-CN"/>
        </w:rPr>
        <w:t>打分方法</w:t>
      </w:r>
      <w:r>
        <w:rPr>
          <w:rFonts w:hint="eastAsia" w:ascii="宋体" w:hAnsi="宋体" w:cs="宋体"/>
        </w:rPr>
        <w:t>对各投标人</w:t>
      </w:r>
      <w:r>
        <w:rPr>
          <w:rFonts w:hint="eastAsia" w:ascii="宋体" w:hAnsi="宋体" w:cs="宋体"/>
          <w:lang w:val="zh-CN"/>
        </w:rPr>
        <w:t>进行综合评审，按评审后得分由高到低顺序排列。得分相同的，按投标报价由低到高顺序排列；得分且投标报价相同的，按技术指标优劣顺序排列。按</w:t>
      </w:r>
      <w:r>
        <w:rPr>
          <w:rFonts w:hint="eastAsia" w:ascii="宋体" w:hAnsi="宋体" w:cs="宋体"/>
        </w:rPr>
        <w:t>顺序</w:t>
      </w:r>
      <w:r>
        <w:rPr>
          <w:rFonts w:hint="eastAsia" w:ascii="宋体" w:hAnsi="宋体" w:cs="宋体"/>
          <w:lang w:val="zh-CN"/>
        </w:rPr>
        <w:t>推荐中标候选人</w:t>
      </w:r>
      <w:r>
        <w:rPr>
          <w:rFonts w:hint="eastAsia" w:ascii="宋体" w:hAnsi="宋体" w:cs="宋体"/>
        </w:rPr>
        <w:t>。</w:t>
      </w:r>
    </w:p>
    <w:p>
      <w:pPr>
        <w:pStyle w:val="27"/>
        <w:spacing w:before="0"/>
        <w:ind w:firstLine="480"/>
        <w:rPr>
          <w:rFonts w:ascii="宋体" w:hAnsi="宋体" w:cs="宋体"/>
        </w:rPr>
      </w:pPr>
      <w:r>
        <w:rPr>
          <w:rFonts w:hint="eastAsia" w:ascii="宋体" w:hAnsi="宋体" w:cs="宋体"/>
          <w:szCs w:val="24"/>
        </w:rPr>
        <w:t xml:space="preserve"> 29.2、</w:t>
      </w:r>
      <w:r>
        <w:rPr>
          <w:rFonts w:hint="eastAsia" w:ascii="宋体" w:hAnsi="宋体" w:cs="宋体"/>
        </w:rPr>
        <w:t>评标结果报经批准，最终确定中标单位。</w:t>
      </w:r>
    </w:p>
    <w:p>
      <w:pPr>
        <w:pStyle w:val="27"/>
        <w:spacing w:before="0"/>
        <w:ind w:firstLine="0" w:firstLineChars="0"/>
        <w:rPr>
          <w:rFonts w:ascii="宋体" w:hAnsi="宋体" w:cs="宋体"/>
          <w:b/>
          <w:szCs w:val="24"/>
        </w:rPr>
      </w:pPr>
      <w:r>
        <w:rPr>
          <w:rFonts w:hint="eastAsia" w:ascii="宋体" w:hAnsi="宋体" w:cs="宋体"/>
          <w:b/>
          <w:szCs w:val="24"/>
        </w:rPr>
        <w:t>30、定标</w:t>
      </w:r>
    </w:p>
    <w:p>
      <w:pPr>
        <w:pStyle w:val="27"/>
        <w:spacing w:before="0"/>
        <w:ind w:firstLine="480"/>
        <w:rPr>
          <w:rFonts w:ascii="宋体" w:hAnsi="宋体" w:cs="宋体"/>
          <w:szCs w:val="24"/>
        </w:rPr>
      </w:pPr>
      <w:r>
        <w:rPr>
          <w:rFonts w:hint="eastAsia" w:ascii="宋体" w:hAnsi="宋体" w:cs="宋体"/>
          <w:szCs w:val="24"/>
        </w:rPr>
        <w:t>30.1、招标采购单位将在中标供应商确定之日起2个工作日内，将中标公告发布于以下网站：</w:t>
      </w:r>
    </w:p>
    <w:p>
      <w:pPr>
        <w:pStyle w:val="27"/>
        <w:spacing w:before="0"/>
        <w:ind w:firstLine="480"/>
        <w:rPr>
          <w:rFonts w:ascii="宋体" w:hAnsi="宋体" w:cs="宋体"/>
          <w:szCs w:val="24"/>
        </w:rPr>
      </w:pPr>
      <w:r>
        <w:rPr>
          <w:rFonts w:hint="eastAsia" w:ascii="宋体" w:hAnsi="宋体" w:cs="宋体"/>
          <w:szCs w:val="24"/>
          <w:lang w:eastAsia="zh-CN"/>
        </w:rPr>
        <w:t>余杭政府网</w:t>
      </w:r>
      <w:r>
        <w:rPr>
          <w:rFonts w:hint="eastAsia" w:ascii="宋体" w:hAnsi="宋体" w:cs="宋体"/>
          <w:szCs w:val="24"/>
        </w:rPr>
        <w:t>(</w:t>
      </w:r>
      <w:r>
        <w:rPr>
          <w:rFonts w:hint="eastAsia"/>
        </w:rPr>
        <w:t>http://www.yuhang.gov.cn/</w:t>
      </w:r>
      <w:r>
        <w:rPr>
          <w:rFonts w:hint="eastAsia" w:ascii="宋体" w:hAnsi="宋体" w:cs="宋体"/>
          <w:szCs w:val="24"/>
        </w:rPr>
        <w:t>)；</w:t>
      </w:r>
    </w:p>
    <w:p>
      <w:pPr>
        <w:pStyle w:val="27"/>
        <w:spacing w:before="0"/>
        <w:ind w:firstLine="480"/>
        <w:rPr>
          <w:rFonts w:ascii="宋体" w:hAnsi="宋体" w:cs="宋体"/>
          <w:szCs w:val="24"/>
        </w:rPr>
      </w:pPr>
      <w:r>
        <w:rPr>
          <w:rFonts w:hint="eastAsia" w:ascii="宋体" w:hAnsi="宋体" w:cs="宋体"/>
          <w:szCs w:val="24"/>
        </w:rPr>
        <w:t>对于未中标单位，将不再另行通知，招标采购单位无义务解释未中标原因。</w:t>
      </w:r>
    </w:p>
    <w:p>
      <w:pPr>
        <w:pStyle w:val="27"/>
        <w:spacing w:before="0"/>
        <w:ind w:firstLine="480"/>
        <w:rPr>
          <w:rFonts w:ascii="宋体" w:hAnsi="宋体" w:cs="宋体"/>
        </w:rPr>
      </w:pPr>
      <w:r>
        <w:rPr>
          <w:rFonts w:hint="eastAsia" w:ascii="宋体" w:hAnsi="宋体" w:cs="宋体"/>
          <w:szCs w:val="24"/>
        </w:rPr>
        <w:t>30.2、</w:t>
      </w:r>
      <w:r>
        <w:rPr>
          <w:rFonts w:hint="eastAsia" w:ascii="宋体" w:hAnsi="宋体" w:cs="宋体"/>
        </w:rPr>
        <w:t>中标公告发布后，招标采购单位将以书面形式发出中标通知书，中标通知书一经发出即发生法律效力。中标通知书将作为签订合同的依据。</w:t>
      </w:r>
    </w:p>
    <w:p>
      <w:pPr>
        <w:pStyle w:val="27"/>
        <w:spacing w:before="0"/>
        <w:ind w:firstLine="480"/>
        <w:rPr>
          <w:rFonts w:ascii="宋体" w:hAnsi="宋体" w:cs="宋体"/>
        </w:rPr>
      </w:pPr>
    </w:p>
    <w:p>
      <w:pPr>
        <w:pStyle w:val="27"/>
        <w:spacing w:before="0"/>
        <w:ind w:firstLine="482"/>
        <w:jc w:val="center"/>
        <w:rPr>
          <w:rFonts w:ascii="宋体" w:hAnsi="宋体" w:cs="宋体"/>
          <w:b/>
          <w:szCs w:val="24"/>
        </w:rPr>
      </w:pPr>
      <w:r>
        <w:rPr>
          <w:rFonts w:hint="eastAsia" w:ascii="宋体" w:hAnsi="宋体" w:cs="宋体"/>
          <w:b/>
          <w:szCs w:val="24"/>
        </w:rPr>
        <w:t>九、合同签订及其他</w:t>
      </w:r>
    </w:p>
    <w:p>
      <w:pPr>
        <w:pStyle w:val="27"/>
        <w:spacing w:before="0"/>
        <w:ind w:firstLine="0" w:firstLineChars="0"/>
        <w:rPr>
          <w:rFonts w:ascii="宋体" w:hAnsi="宋体" w:cs="宋体"/>
          <w:b/>
          <w:szCs w:val="24"/>
        </w:rPr>
      </w:pPr>
      <w:r>
        <w:rPr>
          <w:rFonts w:hint="eastAsia" w:ascii="宋体" w:hAnsi="宋体" w:cs="宋体"/>
          <w:b/>
          <w:szCs w:val="24"/>
        </w:rPr>
        <w:t>31、签订合同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31.1、采购人与中标单位应当在中标通知书发出之日起30日内签订政府采购合同。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31.2、招标文件、中标单位的投标文件、澄清文件及中标通知书等，均为签订合同的依据。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31.3、中标单位不遵守招标文件或投标文件的要约、承诺，擅自修改报价或在接到中标通知书规定时间内借故拖延、拒签合同者，招标采购单位不予退还投标保证金。同时，招标采购单位有权取消该单位的中标资格，与下一中标候选人签订合同或重新组织招标。</w:t>
      </w:r>
    </w:p>
    <w:p>
      <w:pPr>
        <w:pStyle w:val="27"/>
        <w:spacing w:before="0"/>
        <w:ind w:firstLine="0" w:firstLineChars="0"/>
        <w:rPr>
          <w:rFonts w:ascii="宋体" w:hAnsi="宋体" w:cs="宋体"/>
          <w:b/>
          <w:szCs w:val="24"/>
          <w:highlight w:val="green"/>
        </w:rPr>
      </w:pPr>
      <w:r>
        <w:rPr>
          <w:rFonts w:hint="eastAsia" w:ascii="宋体" w:hAnsi="宋体" w:cs="宋体"/>
          <w:b/>
          <w:szCs w:val="24"/>
          <w:highlight w:val="green"/>
        </w:rPr>
        <w:t>32、合同备案</w:t>
      </w:r>
    </w:p>
    <w:p>
      <w:pPr>
        <w:pStyle w:val="27"/>
        <w:spacing w:before="0"/>
        <w:ind w:firstLine="470" w:firstLineChars="196"/>
        <w:rPr>
          <w:rFonts w:ascii="宋体" w:hAnsi="宋体" w:cs="宋体"/>
          <w:b/>
          <w:szCs w:val="24"/>
          <w:highlight w:val="green"/>
        </w:rPr>
      </w:pPr>
      <w:r>
        <w:rPr>
          <w:rFonts w:hint="eastAsia" w:ascii="宋体" w:hAnsi="宋体" w:cs="宋体"/>
          <w:szCs w:val="24"/>
          <w:highlight w:val="green"/>
        </w:rPr>
        <w:t>采购合同一式多份。</w:t>
      </w:r>
    </w:p>
    <w:p>
      <w:pPr>
        <w:pStyle w:val="27"/>
        <w:spacing w:before="0"/>
        <w:ind w:firstLine="0" w:firstLineChars="0"/>
        <w:rPr>
          <w:rFonts w:ascii="宋体" w:hAnsi="宋体" w:cs="宋体"/>
          <w:b/>
          <w:szCs w:val="24"/>
        </w:rPr>
      </w:pPr>
      <w:r>
        <w:rPr>
          <w:rFonts w:hint="eastAsia" w:ascii="宋体" w:hAnsi="宋体" w:cs="宋体"/>
          <w:b/>
          <w:szCs w:val="24"/>
        </w:rPr>
        <w:t>33、履约保证金、质量保证金</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33.1、履约保证金、质量保证金根据不同采购人的采购需求而定。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33.2、履约保证金、质量保证金均由采购人收取。</w:t>
      </w:r>
    </w:p>
    <w:p>
      <w:pPr>
        <w:pStyle w:val="27"/>
        <w:spacing w:before="0"/>
        <w:ind w:firstLine="0" w:firstLineChars="0"/>
        <w:rPr>
          <w:rFonts w:ascii="宋体" w:hAnsi="宋体" w:cs="宋体"/>
          <w:b/>
          <w:szCs w:val="24"/>
        </w:rPr>
      </w:pPr>
      <w:r>
        <w:rPr>
          <w:rFonts w:hint="eastAsia" w:ascii="宋体" w:hAnsi="宋体" w:cs="宋体"/>
          <w:b/>
          <w:szCs w:val="24"/>
        </w:rPr>
        <w:t>34、验收</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货物类：</w:t>
      </w:r>
      <w:r>
        <w:rPr>
          <w:rFonts w:hint="eastAsia" w:ascii="宋体" w:hAnsi="宋体" w:cs="宋体"/>
          <w:sz w:val="24"/>
        </w:rPr>
        <w:t>根据余财采〔2012〕2号《关于进一步加强政府采购验收工作的意见》的通知，对于单次采购金额在三十万元以上的货物类采购项目（除国家规定应由专业机构强制检测或已聘请专业监理公司监理的采购项目），委托余杭区质量计量监测中心政府采购验收办公室进行验收。对不按招标文件、投标承诺及政府采购合同要求供货的供应商，将依据《中华人民共和国政府采购法》、《中华人民共和国政府采购法实施条例》等相关法律法规的规定，列入不良行为记录名单，给予1至3年内禁止参加政府采购活动的处罚，同时将处罚结果上网进行公示。</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服务类：</w:t>
      </w:r>
      <w:r>
        <w:rPr>
          <w:rFonts w:hint="eastAsia" w:ascii="宋体" w:hAnsi="宋体" w:cs="宋体"/>
          <w:sz w:val="24"/>
        </w:rPr>
        <w:t>采购人有权对本项目的服务进行验收或考核。对不按招标文件、投标承诺及政府采购合同要求提供服务的供应商，政府采购行政监管部门将依据《中华人民共和国政府采购法》、《中华人民共和国政府采购法实施条例》等相关法律法规的规定，列入不良行为记录名单，给予1至3年内禁止参加政府采购活动的处罚，同时将处罚结果上网进行公示。</w:t>
      </w:r>
    </w:p>
    <w:p>
      <w:pPr>
        <w:pStyle w:val="27"/>
        <w:spacing w:before="0"/>
        <w:ind w:firstLine="0" w:firstLineChars="0"/>
        <w:rPr>
          <w:rFonts w:ascii="宋体" w:hAnsi="宋体" w:cs="宋体"/>
          <w:b/>
          <w:szCs w:val="24"/>
        </w:rPr>
      </w:pPr>
      <w:r>
        <w:rPr>
          <w:rFonts w:hint="eastAsia" w:ascii="宋体" w:hAnsi="宋体" w:cs="宋体"/>
          <w:b/>
          <w:szCs w:val="24"/>
        </w:rPr>
        <w:t>35、质疑与投诉</w:t>
      </w:r>
    </w:p>
    <w:p>
      <w:pPr>
        <w:adjustRightInd w:val="0"/>
        <w:snapToGrid w:val="0"/>
        <w:spacing w:line="360" w:lineRule="auto"/>
        <w:ind w:firstLine="480" w:firstLineChars="200"/>
        <w:rPr>
          <w:rFonts w:ascii="宋体" w:hAnsi="宋体" w:cs="宋体"/>
          <w:b/>
          <w:bCs/>
          <w:sz w:val="24"/>
        </w:rPr>
      </w:pPr>
      <w:r>
        <w:rPr>
          <w:rFonts w:hint="eastAsia" w:ascii="宋体" w:hAnsi="宋体" w:cs="宋体"/>
          <w:sz w:val="24"/>
        </w:rPr>
        <w:t>35.1、投标人如认为招标公告信息使自身的合法权益受到损害的，应于自招标公告发布之日起七个工作日内以书面形式向采购代理机构提出质疑。</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35.2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35.3、投标人如认为采购过程使自身的合法权益受到损害的，应于自各采购程序环节结束之日起七个工作日内，以书面形式向采购代理机构提出质疑。</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35.4、投标人如认为中标结果使自身的合法权益受到损害的，应于自中标结果公告期限（公告期限为1个工作日）届满之日起七个工作日内，以书面形式向采购代理机构提出质疑。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numPr>
          <w:ilvl w:val="0"/>
          <w:numId w:val="3"/>
        </w:numPr>
        <w:adjustRightInd w:val="0"/>
        <w:snapToGrid w:val="0"/>
        <w:spacing w:line="360" w:lineRule="auto"/>
        <w:jc w:val="center"/>
        <w:rPr>
          <w:rFonts w:ascii="宋体" w:hAnsi="宋体" w:cs="宋体"/>
          <w:b/>
          <w:bCs/>
          <w:sz w:val="24"/>
        </w:rPr>
      </w:pPr>
      <w:r>
        <w:rPr>
          <w:rFonts w:hint="eastAsia" w:ascii="宋体" w:hAnsi="宋体" w:cs="宋体"/>
          <w:b/>
          <w:bCs/>
          <w:sz w:val="24"/>
        </w:rPr>
        <w:t>投标人须知之专用条款</w:t>
      </w:r>
    </w:p>
    <w:p>
      <w:pPr>
        <w:pStyle w:val="27"/>
        <w:spacing w:before="0"/>
        <w:ind w:firstLine="0" w:firstLineChars="0"/>
        <w:rPr>
          <w:rFonts w:hint="eastAsia" w:ascii="宋体" w:hAnsi="宋体" w:eastAsia="宋体" w:cs="宋体"/>
          <w:b/>
          <w:szCs w:val="24"/>
          <w:lang w:val="en-US" w:eastAsia="zh-CN"/>
        </w:rPr>
      </w:pPr>
      <w:r>
        <w:rPr>
          <w:rFonts w:hint="eastAsia" w:ascii="宋体" w:hAnsi="宋体" w:cs="宋体"/>
          <w:b/>
          <w:szCs w:val="24"/>
        </w:rPr>
        <w:t>36、投标文件组成</w:t>
      </w:r>
      <w:r>
        <w:rPr>
          <w:rFonts w:hint="eastAsia" w:ascii="宋体" w:hAnsi="宋体" w:cs="宋体"/>
          <w:b/>
          <w:szCs w:val="24"/>
          <w:lang w:val="en-US" w:eastAsia="zh-CN"/>
        </w:rPr>
        <w:t xml:space="preserve"> </w:t>
      </w:r>
    </w:p>
    <w:p>
      <w:pPr>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文件应当包括以下主要内容：报价文件、商务技术文件。</w:t>
      </w:r>
    </w:p>
    <w:p>
      <w:pPr>
        <w:snapToGrid w:val="0"/>
        <w:spacing w:line="360" w:lineRule="auto"/>
        <w:ind w:firstLine="480" w:firstLineChars="200"/>
        <w:rPr>
          <w:rFonts w:hint="eastAsia" w:ascii="宋体" w:hAnsi="宋体" w:cs="宋体"/>
          <w:color w:val="000000"/>
          <w:sz w:val="24"/>
          <w:u w:val="single"/>
          <w:lang w:val="zh-CN"/>
        </w:rPr>
      </w:pPr>
      <w:bookmarkStart w:id="7" w:name="_Toc500208478"/>
      <w:r>
        <w:rPr>
          <w:rFonts w:hint="eastAsia" w:ascii="宋体" w:hAnsi="宋体" w:cs="宋体"/>
          <w:color w:val="000000"/>
          <w:kern w:val="0"/>
          <w:sz w:val="24"/>
          <w:lang w:val="en-US" w:eastAsia="zh-CN"/>
        </w:rPr>
        <w:t>1</w:t>
      </w:r>
      <w:r>
        <w:rPr>
          <w:rFonts w:hint="eastAsia" w:ascii="宋体" w:hAnsi="宋体" w:cs="宋体"/>
          <w:color w:val="000000"/>
          <w:kern w:val="0"/>
          <w:sz w:val="24"/>
          <w:lang w:val="zh-CN"/>
        </w:rPr>
        <w:t>、</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应包括以下内容： </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▲（1）</w:t>
      </w:r>
      <w:r>
        <w:rPr>
          <w:rFonts w:hint="eastAsia" w:ascii="宋体" w:hAnsi="宋体" w:cs="宋体"/>
          <w:b/>
          <w:color w:val="000000"/>
          <w:kern w:val="0"/>
          <w:sz w:val="24"/>
        </w:rPr>
        <w:t>投标响应函</w:t>
      </w:r>
      <w:r>
        <w:rPr>
          <w:rFonts w:hint="eastAsia" w:ascii="宋体" w:hAnsi="宋体" w:cs="宋体"/>
          <w:b/>
          <w:color w:val="000000"/>
          <w:sz w:val="24"/>
        </w:rPr>
        <w:t>；</w:t>
      </w:r>
    </w:p>
    <w:p>
      <w:pPr>
        <w:pStyle w:val="11"/>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w:t>
      </w:r>
      <w:r>
        <w:rPr>
          <w:rFonts w:hint="eastAsia" w:ascii="宋体" w:hAnsi="宋体" w:eastAsia="宋体" w:cs="宋体"/>
          <w:b/>
          <w:color w:val="000000"/>
          <w:sz w:val="24"/>
          <w:szCs w:val="24"/>
        </w:rPr>
        <w:t>（2）开标一览表；</w:t>
      </w:r>
    </w:p>
    <w:p>
      <w:pPr>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en-US" w:eastAsia="zh-CN"/>
        </w:rPr>
        <w:t>2</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应包括以下内容： </w:t>
      </w:r>
    </w:p>
    <w:bookmarkEnd w:id="7"/>
    <w:p>
      <w:pPr>
        <w:pStyle w:val="11"/>
        <w:snapToGrid w:val="0"/>
        <w:spacing w:line="360" w:lineRule="auto"/>
        <w:ind w:firstLine="480" w:firstLineChars="200"/>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r>
        <w:rPr>
          <w:rFonts w:ascii="宋体" w:hAnsi="宋体" w:eastAsia="宋体" w:cs="宋体"/>
          <w:color w:val="000000"/>
          <w:sz w:val="24"/>
          <w:szCs w:val="24"/>
          <w:lang w:val="en-US" w:eastAsia="zh-CN"/>
        </w:rPr>
        <w:t>1）、目录</w:t>
      </w:r>
    </w:p>
    <w:p>
      <w:pPr>
        <w:pStyle w:val="11"/>
        <w:snapToGrid w:val="0"/>
        <w:spacing w:line="360" w:lineRule="auto"/>
        <w:ind w:firstLine="480" w:firstLineChars="200"/>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r>
        <w:rPr>
          <w:rFonts w:ascii="宋体" w:hAnsi="宋体" w:eastAsia="宋体" w:cs="宋体"/>
          <w:color w:val="000000"/>
          <w:sz w:val="24"/>
          <w:szCs w:val="24"/>
          <w:lang w:val="en-US" w:eastAsia="zh-CN"/>
        </w:rPr>
        <w:t>2）、评分响应表；</w:t>
      </w:r>
    </w:p>
    <w:p>
      <w:pPr>
        <w:pStyle w:val="11"/>
        <w:snapToGrid w:val="0"/>
        <w:spacing w:line="360" w:lineRule="auto"/>
        <w:ind w:firstLine="482" w:firstLineChars="200"/>
        <w:rPr>
          <w:rFonts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w:t>
      </w:r>
      <w:r>
        <w:rPr>
          <w:rFonts w:ascii="宋体" w:hAnsi="宋体" w:eastAsia="宋体" w:cs="宋体"/>
          <w:b/>
          <w:color w:val="000000"/>
          <w:sz w:val="24"/>
          <w:szCs w:val="24"/>
          <w:lang w:val="en-US" w:eastAsia="zh-CN"/>
        </w:rPr>
        <w:t>3）、</w:t>
      </w:r>
      <w:r>
        <w:rPr>
          <w:rFonts w:hint="eastAsia" w:ascii="宋体" w:hAnsi="宋体" w:eastAsia="宋体" w:cs="宋体"/>
          <w:b/>
          <w:color w:val="000000"/>
          <w:sz w:val="24"/>
          <w:szCs w:val="24"/>
          <w:lang w:val="en-US" w:eastAsia="zh-CN"/>
        </w:rPr>
        <w:t>项目技术规范和服务要求</w:t>
      </w:r>
      <w:r>
        <w:rPr>
          <w:rFonts w:ascii="宋体" w:hAnsi="宋体" w:eastAsia="宋体" w:cs="宋体"/>
          <w:b/>
          <w:color w:val="000000"/>
          <w:sz w:val="24"/>
          <w:szCs w:val="24"/>
          <w:lang w:val="en-US" w:eastAsia="zh-CN"/>
        </w:rPr>
        <w:t>实质性内容响应表（格式见第五部分）；</w:t>
      </w:r>
    </w:p>
    <w:p>
      <w:pPr>
        <w:pStyle w:val="11"/>
        <w:snapToGrid w:val="0"/>
        <w:spacing w:line="360" w:lineRule="auto"/>
        <w:ind w:firstLine="482" w:firstLineChars="200"/>
        <w:rPr>
          <w:rFonts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▲（4</w:t>
      </w:r>
      <w:r>
        <w:rPr>
          <w:rFonts w:ascii="宋体" w:hAnsi="宋体" w:eastAsia="宋体" w:cs="宋体"/>
          <w:b/>
          <w:color w:val="000000"/>
          <w:sz w:val="24"/>
          <w:szCs w:val="24"/>
          <w:lang w:val="en-US" w:eastAsia="zh-CN"/>
        </w:rPr>
        <w:t>）、法定代表人</w:t>
      </w:r>
      <w:r>
        <w:rPr>
          <w:rFonts w:hint="eastAsia" w:ascii="宋体" w:hAnsi="宋体" w:eastAsia="宋体" w:cs="宋体"/>
          <w:b/>
          <w:color w:val="000000"/>
          <w:sz w:val="24"/>
          <w:szCs w:val="24"/>
          <w:lang w:val="en-US" w:eastAsia="zh-CN"/>
        </w:rPr>
        <w:t>（公司负责人）</w:t>
      </w:r>
      <w:r>
        <w:rPr>
          <w:rFonts w:ascii="宋体" w:hAnsi="宋体" w:eastAsia="宋体" w:cs="宋体"/>
          <w:b/>
          <w:color w:val="000000"/>
          <w:sz w:val="24"/>
          <w:szCs w:val="24"/>
          <w:lang w:val="en-US" w:eastAsia="zh-CN"/>
        </w:rPr>
        <w:t>授权委托书原件、授权代表的身份证正反面复印件、授权代表在本公司社保缴纳证明（加盖社保部门章）。（法定代表授权委托书必须按照第五部分投标文件格式，如法定代表人</w:t>
      </w:r>
      <w:r>
        <w:rPr>
          <w:rFonts w:hint="eastAsia" w:ascii="宋体" w:hAnsi="宋体" w:eastAsia="宋体" w:cs="宋体"/>
          <w:b/>
          <w:color w:val="000000"/>
          <w:sz w:val="24"/>
          <w:szCs w:val="24"/>
          <w:lang w:val="en-US" w:eastAsia="zh-CN"/>
        </w:rPr>
        <w:t>（或公司负责人）</w:t>
      </w:r>
      <w:r>
        <w:rPr>
          <w:rFonts w:ascii="宋体" w:hAnsi="宋体" w:eastAsia="宋体" w:cs="宋体"/>
          <w:b/>
          <w:color w:val="000000"/>
          <w:sz w:val="24"/>
          <w:szCs w:val="24"/>
          <w:lang w:val="en-US" w:eastAsia="zh-CN"/>
        </w:rPr>
        <w:t>直接参加投标并对相应文件签字的，只需提供其身份证正反面复印件）；</w:t>
      </w:r>
    </w:p>
    <w:p>
      <w:pPr>
        <w:pStyle w:val="11"/>
        <w:snapToGrid w:val="0"/>
        <w:spacing w:line="360" w:lineRule="auto"/>
        <w:ind w:firstLine="482" w:firstLineChars="200"/>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▲（5</w:t>
      </w:r>
      <w:r>
        <w:rPr>
          <w:rFonts w:ascii="宋体" w:hAnsi="宋体" w:eastAsia="宋体" w:cs="宋体"/>
          <w:b/>
          <w:color w:val="000000"/>
          <w:sz w:val="24"/>
          <w:szCs w:val="24"/>
          <w:lang w:val="en-US" w:eastAsia="zh-CN"/>
        </w:rPr>
        <w:t>）、无失信行为承诺书（必须按照第五部分格式）；</w:t>
      </w:r>
    </w:p>
    <w:p>
      <w:pPr>
        <w:pStyle w:val="11"/>
        <w:snapToGrid w:val="0"/>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（6）、本项目完整的实施方案</w:t>
      </w:r>
    </w:p>
    <w:p>
      <w:pPr>
        <w:pStyle w:val="11"/>
        <w:snapToGrid w:val="0"/>
        <w:spacing w:line="360" w:lineRule="auto"/>
        <w:ind w:firstLine="480" w:firstLineChars="200"/>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（7）、技术偏离表</w:t>
      </w:r>
    </w:p>
    <w:p>
      <w:pPr>
        <w:pStyle w:val="11"/>
        <w:snapToGrid w:val="0"/>
        <w:spacing w:line="360" w:lineRule="auto"/>
        <w:ind w:firstLine="480" w:firstLineChars="200"/>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r>
        <w:rPr>
          <w:rFonts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w:t>
      </w:r>
      <w:r>
        <w:rPr>
          <w:rFonts w:ascii="宋体" w:hAnsi="宋体" w:eastAsia="宋体" w:cs="宋体"/>
          <w:color w:val="000000"/>
          <w:sz w:val="24"/>
          <w:szCs w:val="24"/>
          <w:lang w:val="en-US" w:eastAsia="zh-CN"/>
        </w:rPr>
        <w:t>对应评分细则提供相关证明资料，并根据要求盖章；</w:t>
      </w:r>
    </w:p>
    <w:p>
      <w:pPr>
        <w:pStyle w:val="11"/>
        <w:snapToGrid w:val="0"/>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r>
        <w:rPr>
          <w:rFonts w:ascii="宋体" w:hAnsi="宋体" w:eastAsia="宋体" w:cs="宋体"/>
          <w:color w:val="000000"/>
          <w:sz w:val="24"/>
          <w:szCs w:val="24"/>
          <w:lang w:val="en-US" w:eastAsia="zh-CN"/>
        </w:rPr>
        <w:t>）、投标人认为需要提供的与本项目有关的其他文件和说明。</w:t>
      </w:r>
    </w:p>
    <w:p>
      <w:pPr>
        <w:adjustRightInd w:val="0"/>
        <w:snapToGrid w:val="0"/>
        <w:spacing w:line="360" w:lineRule="auto"/>
        <w:rPr>
          <w:rFonts w:ascii="宋体" w:hAnsi="宋体" w:cs="宋体"/>
          <w:b/>
          <w:sz w:val="24"/>
        </w:rPr>
      </w:pPr>
      <w:r>
        <w:rPr>
          <w:rFonts w:hint="eastAsia" w:ascii="宋体" w:hAnsi="宋体" w:cs="宋体"/>
          <w:b/>
          <w:sz w:val="24"/>
        </w:rPr>
        <w:t>37、评标办法及评分标准：</w:t>
      </w:r>
    </w:p>
    <w:p>
      <w:pPr>
        <w:pStyle w:val="27"/>
        <w:spacing w:before="0"/>
        <w:ind w:firstLine="600" w:firstLineChars="250"/>
        <w:rPr>
          <w:rFonts w:ascii="宋体" w:hAnsi="宋体" w:cs="宋体"/>
        </w:rPr>
      </w:pPr>
      <w:r>
        <w:rPr>
          <w:rFonts w:hint="eastAsia" w:ascii="宋体" w:hAnsi="宋体" w:cs="宋体"/>
        </w:rPr>
        <w:t>37.1、总则</w:t>
      </w:r>
    </w:p>
    <w:p>
      <w:pPr>
        <w:pStyle w:val="27"/>
        <w:spacing w:before="0"/>
        <w:ind w:firstLine="602" w:firstLineChars="250"/>
        <w:rPr>
          <w:rFonts w:ascii="宋体" w:hAnsi="宋体" w:cs="宋体"/>
        </w:rPr>
      </w:pPr>
      <w:r>
        <w:rPr>
          <w:rFonts w:hint="eastAsia" w:ascii="宋体" w:hAnsi="宋体" w:cs="宋体"/>
          <w:b/>
        </w:rPr>
        <w:t>本次评标采用</w:t>
      </w:r>
      <w:bookmarkStart w:id="8" w:name="ruleMainCatName2"/>
      <w:r>
        <w:rPr>
          <w:rFonts w:hint="eastAsia" w:ascii="宋体" w:hAnsi="宋体" w:cs="宋体"/>
          <w:b/>
        </w:rPr>
        <w:t>综合评分法</w:t>
      </w:r>
      <w:bookmarkEnd w:id="8"/>
      <w:r>
        <w:rPr>
          <w:rFonts w:hint="eastAsia" w:ascii="宋体" w:hAnsi="宋体" w:cs="宋体"/>
          <w:b/>
        </w:rPr>
        <w:t>，总分为100分。</w:t>
      </w:r>
      <w:r>
        <w:rPr>
          <w:rFonts w:hint="eastAsia" w:ascii="宋体" w:hAnsi="宋体" w:cs="宋体"/>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27"/>
        <w:spacing w:before="0"/>
        <w:ind w:firstLine="600" w:firstLineChars="250"/>
        <w:rPr>
          <w:rFonts w:ascii="宋体" w:hAnsi="宋体" w:cs="宋体"/>
        </w:rPr>
      </w:pPr>
      <w:r>
        <w:rPr>
          <w:rFonts w:hint="eastAsia" w:ascii="宋体" w:hAnsi="宋体" w:cs="宋体"/>
        </w:rPr>
        <w:t>投标人评标综合得分=价格分+(技术、商务分)</w:t>
      </w:r>
    </w:p>
    <w:p>
      <w:pPr>
        <w:pStyle w:val="27"/>
        <w:spacing w:before="0"/>
        <w:ind w:firstLine="600" w:firstLineChars="250"/>
        <w:rPr>
          <w:rFonts w:hint="eastAsia" w:ascii="宋体" w:hAnsi="宋体" w:cs="宋体"/>
        </w:rPr>
      </w:pPr>
      <w:r>
        <w:rPr>
          <w:rFonts w:hint="eastAsia" w:ascii="宋体" w:hAnsi="宋体" w:cs="宋体"/>
        </w:rPr>
        <w:t>37.2、评标内容及标准</w:t>
      </w:r>
    </w:p>
    <w:p>
      <w:pPr>
        <w:pStyle w:val="27"/>
        <w:spacing w:before="0"/>
        <w:ind w:firstLine="602" w:firstLineChars="250"/>
        <w:rPr>
          <w:rFonts w:hint="eastAsia"/>
          <w:b/>
          <w:sz w:val="24"/>
        </w:rPr>
      </w:pPr>
      <w:r>
        <w:rPr>
          <w:rFonts w:hint="eastAsia" w:ascii="宋体" w:hAnsi="宋体" w:cs="宋体"/>
          <w:b/>
        </w:rPr>
        <w:t>37.2.1、价格分（</w:t>
      </w:r>
      <w:r>
        <w:rPr>
          <w:rFonts w:hint="eastAsia" w:ascii="宋体" w:hAnsi="宋体" w:cs="宋体"/>
          <w:b/>
          <w:lang w:val="en-US" w:eastAsia="zh-CN"/>
        </w:rPr>
        <w:t>3</w:t>
      </w:r>
      <w:r>
        <w:rPr>
          <w:rFonts w:hint="eastAsia" w:ascii="宋体" w:hAnsi="宋体" w:cs="宋体"/>
          <w:b/>
          <w:lang w:eastAsia="zh-CN"/>
        </w:rPr>
        <w:t>0</w:t>
      </w:r>
      <w:r>
        <w:rPr>
          <w:rFonts w:hint="eastAsia" w:ascii="宋体" w:hAnsi="宋体" w:cs="宋体"/>
          <w:b/>
        </w:rPr>
        <w:t>分）</w:t>
      </w:r>
    </w:p>
    <w:p>
      <w:pPr>
        <w:pStyle w:val="27"/>
        <w:spacing w:before="0"/>
        <w:ind w:firstLine="600" w:firstLineChars="250"/>
        <w:rPr>
          <w:rFonts w:hint="eastAsia" w:ascii="宋体" w:hAnsi="宋体" w:cs="宋体"/>
          <w:color w:val="000000"/>
          <w:sz w:val="24"/>
          <w:highlight w:val="none"/>
        </w:rPr>
      </w:pPr>
      <w:r>
        <w:rPr>
          <w:rFonts w:hint="eastAsia" w:ascii="宋体" w:hAnsi="宋体" w:cs="宋体"/>
          <w:color w:val="000000"/>
          <w:sz w:val="24"/>
          <w:highlight w:val="none"/>
        </w:rPr>
        <w:t>采用低价优先法计算，即满足招标文件要求且投标价格最低的投标报价为评标基准价，其他投标人的价格分按照下列公式计算：</w:t>
      </w:r>
    </w:p>
    <w:p>
      <w:pPr>
        <w:pStyle w:val="27"/>
        <w:spacing w:before="0"/>
        <w:ind w:firstLine="600" w:firstLineChars="250"/>
        <w:rPr>
          <w:rFonts w:hint="eastAsia" w:ascii="宋体" w:hAnsi="宋体" w:cs="宋体"/>
          <w:color w:val="auto"/>
          <w:sz w:val="24"/>
          <w:highlight w:val="none"/>
        </w:rPr>
      </w:pPr>
      <w:r>
        <w:rPr>
          <w:rFonts w:hint="eastAsia" w:ascii="宋体" w:hAnsi="宋体" w:cs="宋体"/>
          <w:color w:val="auto"/>
          <w:sz w:val="24"/>
          <w:highlight w:val="none"/>
        </w:rPr>
        <w:t>投标报价得分=(评标基准价／投标报价)×价格权值×100（精确到小数点后二位）因落实政府采购政策进行价格调整的，以调整后的价格计算评标基准价和投标报价。</w:t>
      </w:r>
    </w:p>
    <w:p>
      <w:pPr>
        <w:pStyle w:val="27"/>
        <w:spacing w:before="0"/>
        <w:ind w:left="0" w:leftChars="0" w:firstLine="0" w:firstLineChars="0"/>
        <w:rPr>
          <w:rFonts w:hint="eastAsia" w:ascii="宋体" w:hAnsi="宋体" w:cs="宋体"/>
          <w:color w:val="auto"/>
          <w:sz w:val="24"/>
          <w:highlight w:val="none"/>
        </w:rPr>
      </w:pPr>
      <w:r>
        <w:rPr>
          <w:rFonts w:hint="eastAsia" w:ascii="宋体" w:hAnsi="宋体" w:cs="宋体"/>
          <w:color w:val="auto"/>
          <w:sz w:val="24"/>
          <w:highlight w:val="none"/>
        </w:rPr>
        <w:t>注：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同时符合以下所有要求的投标人被认定为小型、微型企业：</w:t>
      </w:r>
    </w:p>
    <w:p>
      <w:pPr>
        <w:pStyle w:val="27"/>
        <w:spacing w:before="0"/>
        <w:ind w:firstLine="600" w:firstLineChars="250"/>
        <w:rPr>
          <w:rFonts w:hint="eastAsia" w:ascii="宋体" w:hAnsi="宋体" w:cs="宋体"/>
          <w:color w:val="auto"/>
          <w:sz w:val="24"/>
          <w:highlight w:val="none"/>
        </w:rPr>
      </w:pPr>
      <w:r>
        <w:rPr>
          <w:rFonts w:hint="eastAsia" w:ascii="宋体" w:hAnsi="宋体" w:cs="宋体"/>
          <w:color w:val="auto"/>
          <w:sz w:val="24"/>
          <w:highlight w:val="none"/>
        </w:rPr>
        <w:t>（1）投标人按照《关于印发中小企业划型标准规定的通知》（工信部联企业〔2011〕300号）的所属行业规定为小型、微型企业【注：按《关于印发中小企业划型标准规定的通知》规定提供《中小企业声明函》】。</w:t>
      </w:r>
    </w:p>
    <w:p>
      <w:pPr>
        <w:pStyle w:val="27"/>
        <w:spacing w:before="0"/>
        <w:ind w:firstLine="600" w:firstLineChars="250"/>
        <w:rPr>
          <w:rFonts w:hint="eastAsia" w:ascii="宋体" w:hAnsi="宋体" w:cs="宋体"/>
          <w:color w:val="auto"/>
          <w:sz w:val="24"/>
          <w:highlight w:val="none"/>
        </w:rPr>
      </w:pPr>
      <w:r>
        <w:rPr>
          <w:rFonts w:hint="eastAsia" w:ascii="宋体" w:hAnsi="宋体" w:cs="宋体"/>
          <w:color w:val="auto"/>
          <w:sz w:val="24"/>
          <w:highlight w:val="none"/>
        </w:rPr>
        <w:t>（2）投标人所投标项内产品均为小型、微型企业提供的服务【注：按《关于印发中小企业划型标准规定的通知》中“工业行业”规定提供制造商出具的《中小企业声明函》】。</w:t>
      </w:r>
    </w:p>
    <w:p>
      <w:pPr>
        <w:pStyle w:val="27"/>
        <w:spacing w:before="0"/>
        <w:ind w:firstLine="600" w:firstLineChars="250"/>
        <w:rPr>
          <w:rFonts w:hint="eastAsia" w:ascii="宋体" w:hAnsi="宋体" w:cs="宋体"/>
          <w:color w:val="auto"/>
          <w:sz w:val="24"/>
          <w:highlight w:val="none"/>
        </w:rPr>
      </w:pPr>
      <w:r>
        <w:rPr>
          <w:rFonts w:hint="eastAsia" w:ascii="宋体" w:hAnsi="宋体" w:cs="宋体"/>
          <w:color w:val="auto"/>
          <w:sz w:val="24"/>
          <w:highlight w:val="none"/>
        </w:rPr>
        <w:t>（3）监狱企业视同小微企业，参加本项目投标的，享受小微企业同等的价格扣除。【注：提供《监狱企业声明函》】。</w:t>
      </w:r>
    </w:p>
    <w:p>
      <w:pPr>
        <w:pStyle w:val="27"/>
        <w:spacing w:before="0"/>
        <w:ind w:firstLine="600" w:firstLineChars="250"/>
        <w:rPr>
          <w:rFonts w:hint="eastAsia" w:ascii="宋体" w:hAnsi="宋体" w:cs="宋体"/>
          <w:color w:val="auto"/>
          <w:sz w:val="24"/>
          <w:highlight w:val="none"/>
        </w:rPr>
      </w:pPr>
      <w:r>
        <w:rPr>
          <w:rFonts w:hint="eastAsia" w:ascii="宋体" w:hAnsi="宋体" w:cs="宋体"/>
          <w:color w:val="auto"/>
          <w:sz w:val="24"/>
          <w:highlight w:val="none"/>
        </w:rPr>
        <w:t>（4）残疾人福利性单位参加投标【提供《残疾人福利性单位声明函》】，视为小</w:t>
      </w:r>
    </w:p>
    <w:p>
      <w:pPr>
        <w:pStyle w:val="27"/>
        <w:spacing w:before="0"/>
        <w:ind w:firstLine="600" w:firstLineChars="250"/>
        <w:rPr>
          <w:rFonts w:hint="eastAsia" w:ascii="宋体" w:hAnsi="宋体" w:cs="宋体"/>
          <w:color w:val="auto"/>
          <w:sz w:val="24"/>
          <w:highlight w:val="none"/>
        </w:rPr>
      </w:pPr>
      <w:r>
        <w:rPr>
          <w:rFonts w:hint="eastAsia" w:ascii="宋体" w:hAnsi="宋体" w:cs="宋体"/>
          <w:color w:val="auto"/>
          <w:sz w:val="24"/>
          <w:highlight w:val="none"/>
        </w:rPr>
        <w:t>型、微型企业，享受小微企业政策扶持。</w:t>
      </w:r>
    </w:p>
    <w:p>
      <w:pPr>
        <w:pStyle w:val="27"/>
        <w:spacing w:before="0"/>
        <w:ind w:firstLine="602" w:firstLineChars="250"/>
        <w:rPr>
          <w:rFonts w:ascii="宋体" w:hAnsi="宋体" w:cs="宋体"/>
          <w:b/>
        </w:rPr>
      </w:pPr>
      <w:r>
        <w:rPr>
          <w:rFonts w:hint="eastAsia" w:ascii="宋体" w:hAnsi="宋体" w:cs="宋体"/>
          <w:b/>
        </w:rPr>
        <w:t>37.2.2、技术、商务分（</w:t>
      </w:r>
      <w:r>
        <w:rPr>
          <w:rFonts w:hint="eastAsia" w:ascii="宋体" w:hAnsi="宋体" w:cs="宋体"/>
          <w:b/>
          <w:lang w:val="en-US" w:eastAsia="zh-CN"/>
        </w:rPr>
        <w:t>7</w:t>
      </w:r>
      <w:r>
        <w:rPr>
          <w:rFonts w:hint="eastAsia" w:ascii="宋体" w:hAnsi="宋体" w:cs="宋体"/>
          <w:b/>
          <w:lang w:eastAsia="zh-CN"/>
        </w:rPr>
        <w:t>0</w:t>
      </w:r>
      <w:r>
        <w:rPr>
          <w:rFonts w:hint="eastAsia" w:ascii="宋体" w:hAnsi="宋体" w:cs="宋体"/>
          <w:b/>
        </w:rPr>
        <w:t>分）</w:t>
      </w:r>
    </w:p>
    <w:p>
      <w:pPr>
        <w:pStyle w:val="27"/>
        <w:spacing w:before="0"/>
        <w:ind w:firstLine="602" w:firstLineChars="250"/>
        <w:rPr>
          <w:rFonts w:ascii="宋体" w:hAnsi="宋体" w:cs="宋体"/>
          <w:b/>
        </w:rPr>
      </w:pPr>
      <w:r>
        <w:rPr>
          <w:rFonts w:hint="eastAsia" w:ascii="宋体" w:hAnsi="宋体" w:cs="宋体"/>
          <w:b/>
        </w:rPr>
        <w:t>（1）、技术、商务分的计算：</w:t>
      </w:r>
    </w:p>
    <w:p>
      <w:pPr>
        <w:pStyle w:val="27"/>
        <w:spacing w:before="0"/>
        <w:ind w:firstLine="600" w:firstLineChars="250"/>
        <w:rPr>
          <w:rFonts w:ascii="宋体" w:hAnsi="宋体" w:cs="宋体"/>
        </w:rPr>
      </w:pPr>
      <w:r>
        <w:rPr>
          <w:rFonts w:hint="eastAsia" w:ascii="宋体" w:hAnsi="宋体" w:cs="宋体"/>
        </w:rPr>
        <w:t>技术、商务分按照评标委员会成员的独立评分结果汇总数的算术平均分计算，计算公式为：</w:t>
      </w:r>
    </w:p>
    <w:p>
      <w:pPr>
        <w:pStyle w:val="27"/>
        <w:spacing w:before="0"/>
        <w:ind w:firstLine="600" w:firstLineChars="250"/>
        <w:rPr>
          <w:rFonts w:ascii="宋体" w:hAnsi="宋体" w:cs="宋体"/>
        </w:rPr>
      </w:pPr>
      <w:r>
        <w:rPr>
          <w:rFonts w:hint="eastAsia" w:ascii="宋体" w:hAnsi="宋体" w:cs="宋体"/>
        </w:rPr>
        <w:t>技术、商务分=评标委员会所有成员评分合计数/评标委员会组成人员数</w:t>
      </w:r>
    </w:p>
    <w:p>
      <w:pPr>
        <w:pStyle w:val="27"/>
        <w:spacing w:before="0"/>
        <w:ind w:firstLine="602" w:firstLineChars="250"/>
        <w:rPr>
          <w:rFonts w:hint="eastAsia" w:ascii="宋体" w:hAnsi="宋体" w:cs="宋体"/>
          <w:b/>
          <w:lang w:eastAsia="zh-CN"/>
        </w:rPr>
      </w:pPr>
      <w:r>
        <w:rPr>
          <w:rFonts w:hint="eastAsia" w:ascii="宋体" w:hAnsi="宋体" w:cs="宋体"/>
          <w:b/>
        </w:rPr>
        <w:t>（2）、评分细则如下：</w:t>
      </w:r>
    </w:p>
    <w:p>
      <w:pPr>
        <w:pStyle w:val="27"/>
        <w:spacing w:before="0" w:line="440" w:lineRule="exact"/>
        <w:ind w:firstLine="602" w:firstLineChars="250"/>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技术分（</w:t>
      </w:r>
      <w:r>
        <w:rPr>
          <w:rFonts w:hint="eastAsia" w:ascii="仿宋" w:hAnsi="仿宋" w:eastAsia="仿宋" w:cs="仿宋"/>
          <w:b/>
          <w:color w:val="000000"/>
          <w:sz w:val="24"/>
          <w:szCs w:val="24"/>
          <w:highlight w:val="none"/>
          <w:lang w:val="en-US" w:eastAsia="zh-CN"/>
        </w:rPr>
        <w:t>50</w:t>
      </w:r>
      <w:r>
        <w:rPr>
          <w:rFonts w:hint="eastAsia" w:ascii="仿宋" w:hAnsi="仿宋" w:eastAsia="仿宋" w:cs="仿宋"/>
          <w:b/>
          <w:color w:val="000000"/>
          <w:sz w:val="24"/>
          <w:szCs w:val="24"/>
          <w:highlight w:val="none"/>
          <w:lang w:eastAsia="zh-CN"/>
        </w:rPr>
        <w:t>.0</w:t>
      </w:r>
      <w:r>
        <w:rPr>
          <w:rFonts w:hint="eastAsia" w:ascii="仿宋" w:hAnsi="仿宋" w:eastAsia="仿宋" w:cs="仿宋"/>
          <w:b/>
          <w:color w:val="000000"/>
          <w:sz w:val="24"/>
          <w:szCs w:val="24"/>
          <w:highlight w:val="none"/>
        </w:rPr>
        <w:t>分）：</w:t>
      </w:r>
    </w:p>
    <w:tbl>
      <w:tblPr>
        <w:tblStyle w:val="18"/>
        <w:tblW w:w="82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5274"/>
        <w:gridCol w:w="1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vAlign w:val="top"/>
          </w:tcPr>
          <w:p>
            <w:pPr>
              <w:pStyle w:val="27"/>
              <w:spacing w:before="0" w:line="400" w:lineRule="exact"/>
              <w:ind w:firstLine="0" w:firstLineChars="0"/>
              <w:rPr>
                <w:rFonts w:hint="eastAsia" w:ascii="仿宋" w:hAnsi="仿宋" w:eastAsia="仿宋" w:cs="仿宋"/>
                <w:b/>
                <w:color w:val="000000"/>
                <w:kern w:val="2"/>
                <w:sz w:val="24"/>
                <w:szCs w:val="24"/>
                <w:highlight w:val="none"/>
                <w:lang w:val="en-US" w:eastAsia="zh-CN"/>
              </w:rPr>
            </w:pPr>
            <w:bookmarkStart w:id="9" w:name="scoringRules2"/>
            <w:r>
              <w:rPr>
                <w:rFonts w:hint="eastAsia" w:ascii="仿宋" w:hAnsi="仿宋" w:eastAsia="仿宋" w:cs="仿宋"/>
                <w:b/>
                <w:color w:val="000000"/>
                <w:kern w:val="2"/>
                <w:sz w:val="24"/>
                <w:szCs w:val="24"/>
                <w:highlight w:val="none"/>
                <w:lang w:val="en-US" w:eastAsia="zh-CN"/>
              </w:rPr>
              <w:t>评分细则</w:t>
            </w:r>
          </w:p>
        </w:tc>
        <w:tc>
          <w:tcPr>
            <w:tcW w:w="5274" w:type="dxa"/>
            <w:tcBorders>
              <w:top w:val="single" w:color="000000" w:sz="4" w:space="0"/>
              <w:left w:val="single" w:color="000000" w:sz="4" w:space="0"/>
              <w:bottom w:val="single" w:color="000000" w:sz="4" w:space="0"/>
              <w:right w:val="single" w:color="000000" w:sz="4" w:space="0"/>
            </w:tcBorders>
            <w:vAlign w:val="top"/>
          </w:tcPr>
          <w:p>
            <w:pPr>
              <w:pStyle w:val="27"/>
              <w:spacing w:before="0" w:line="400" w:lineRule="exact"/>
              <w:ind w:firstLine="0" w:firstLineChars="0"/>
              <w:rPr>
                <w:rFonts w:hint="eastAsia" w:ascii="仿宋" w:hAnsi="仿宋" w:eastAsia="仿宋" w:cs="仿宋"/>
                <w:b/>
                <w:color w:val="000000"/>
                <w:kern w:val="2"/>
                <w:sz w:val="24"/>
                <w:szCs w:val="24"/>
                <w:highlight w:val="none"/>
                <w:lang w:val="en-US" w:eastAsia="zh-CN"/>
              </w:rPr>
            </w:pPr>
            <w:r>
              <w:rPr>
                <w:rFonts w:hint="eastAsia" w:ascii="仿宋" w:hAnsi="仿宋" w:eastAsia="仿宋" w:cs="仿宋"/>
                <w:b/>
                <w:color w:val="000000"/>
                <w:kern w:val="2"/>
                <w:sz w:val="24"/>
                <w:szCs w:val="24"/>
                <w:highlight w:val="none"/>
                <w:lang w:val="en-US" w:eastAsia="zh-CN"/>
              </w:rPr>
              <w:t>评分细则内容</w:t>
            </w:r>
          </w:p>
        </w:tc>
        <w:tc>
          <w:tcPr>
            <w:tcW w:w="1251" w:type="dxa"/>
            <w:tcBorders>
              <w:top w:val="single" w:color="000000" w:sz="4" w:space="0"/>
              <w:left w:val="single" w:color="000000" w:sz="4" w:space="0"/>
              <w:bottom w:val="single" w:color="000000" w:sz="4" w:space="0"/>
              <w:right w:val="single" w:color="000000" w:sz="4" w:space="0"/>
            </w:tcBorders>
            <w:vAlign w:val="top"/>
          </w:tcPr>
          <w:p>
            <w:pPr>
              <w:pStyle w:val="27"/>
              <w:spacing w:before="0" w:line="400" w:lineRule="exact"/>
              <w:ind w:firstLine="0" w:firstLineChars="0"/>
              <w:rPr>
                <w:rFonts w:hint="eastAsia" w:ascii="仿宋" w:hAnsi="仿宋" w:eastAsia="仿宋" w:cs="仿宋"/>
                <w:b/>
                <w:color w:val="000000"/>
                <w:kern w:val="2"/>
                <w:sz w:val="24"/>
                <w:szCs w:val="24"/>
                <w:highlight w:val="none"/>
                <w:lang w:val="en-US" w:eastAsia="zh-CN"/>
              </w:rPr>
            </w:pPr>
            <w:r>
              <w:rPr>
                <w:rFonts w:hint="eastAsia" w:ascii="仿宋" w:hAnsi="仿宋" w:eastAsia="仿宋" w:cs="仿宋"/>
                <w:b/>
                <w:color w:val="000000"/>
                <w:kern w:val="2"/>
                <w:sz w:val="24"/>
                <w:szCs w:val="24"/>
                <w:highlight w:val="none"/>
                <w:lang w:val="en-US" w:eastAsia="zh-CN"/>
              </w:rPr>
              <w:t>分值(分)</w:t>
            </w:r>
          </w:p>
        </w:tc>
      </w:tr>
      <w:bookmarkEnd w:id="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pStyle w:val="27"/>
              <w:spacing w:before="0" w:line="400" w:lineRule="exact"/>
              <w:ind w:firstLine="0" w:firstLine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技术方案</w:t>
            </w:r>
          </w:p>
        </w:tc>
        <w:tc>
          <w:tcPr>
            <w:tcW w:w="5274" w:type="dxa"/>
            <w:tcBorders>
              <w:top w:val="single" w:color="000000" w:sz="4" w:space="0"/>
              <w:left w:val="single" w:color="000000" w:sz="4" w:space="0"/>
              <w:bottom w:val="single" w:color="000000" w:sz="4" w:space="0"/>
              <w:right w:val="single" w:color="000000" w:sz="4" w:space="0"/>
            </w:tcBorders>
            <w:vAlign w:val="top"/>
          </w:tcPr>
          <w:p>
            <w:pPr>
              <w:pStyle w:val="27"/>
              <w:spacing w:before="0" w:line="400" w:lineRule="exact"/>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1、工作内容、服务方案、计划工作量的全面性、符合技术要求性等方面，酌情打分，好的得6-8分，一般的得3-5分，不甚满意的得0-2分，无描述不得分。</w:t>
            </w:r>
          </w:p>
          <w:p>
            <w:pPr>
              <w:pStyle w:val="27"/>
              <w:spacing w:before="0" w:line="400" w:lineRule="exact"/>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2.项目组织结构安排完整性、合理性情况，酌情打分，好的得6-8分，一般的得3-5分，不甚满意的得0-2分，无描述不得分。</w:t>
            </w:r>
          </w:p>
          <w:p>
            <w:pPr>
              <w:pStyle w:val="27"/>
              <w:spacing w:before="0" w:line="400" w:lineRule="exact"/>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3.质量保证措施合理性、全面性情况，酌情打分，好的得6-8分，一般的得3-5分，不甚满意的得0-2分，无描述不得分。</w:t>
            </w:r>
          </w:p>
          <w:p>
            <w:pPr>
              <w:pStyle w:val="27"/>
              <w:spacing w:before="0" w:line="400" w:lineRule="exact"/>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4.对本次招标周边状况的调查和了解情况横向对比打分，好的得4-6分，一般的得2-3分，不甚满意的得0-1分。</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27"/>
              <w:spacing w:before="0" w:line="400" w:lineRule="exact"/>
              <w:ind w:firstLine="0" w:firstLineChars="0"/>
              <w:jc w:val="center"/>
              <w:rPr>
                <w:rFonts w:hint="default"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pStyle w:val="27"/>
              <w:spacing w:before="0" w:line="400" w:lineRule="exact"/>
              <w:ind w:firstLine="0" w:firstLineChars="0"/>
              <w:jc w:val="center"/>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便捷服务</w:t>
            </w:r>
          </w:p>
        </w:tc>
        <w:tc>
          <w:tcPr>
            <w:tcW w:w="5274" w:type="dxa"/>
            <w:tcBorders>
              <w:top w:val="single" w:color="000000" w:sz="4" w:space="0"/>
              <w:left w:val="single" w:color="000000" w:sz="4" w:space="0"/>
              <w:bottom w:val="single" w:color="000000" w:sz="4" w:space="0"/>
              <w:right w:val="single" w:color="000000" w:sz="4" w:space="0"/>
            </w:tcBorders>
            <w:vAlign w:val="top"/>
          </w:tcPr>
          <w:p>
            <w:pPr>
              <w:pStyle w:val="27"/>
              <w:spacing w:before="0" w:line="400" w:lineRule="exact"/>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1.投标人能够提供方便、快捷、优质服务，根据投标人的便捷服务优势进行酌情打分。0-4分</w:t>
            </w:r>
          </w:p>
          <w:p>
            <w:pPr>
              <w:pStyle w:val="27"/>
              <w:spacing w:before="0" w:line="400" w:lineRule="exact"/>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2.针对本项目的响应时间、响应方式方法进行酌情打分。0-4分</w:t>
            </w:r>
          </w:p>
          <w:p>
            <w:pPr>
              <w:pStyle w:val="27"/>
              <w:spacing w:before="0" w:line="400" w:lineRule="exact"/>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3.日常投诉处理详细方案及可行性情况进行酌情打分。0-4分</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27"/>
              <w:spacing w:before="0" w:line="400" w:lineRule="exact"/>
              <w:ind w:firstLine="0" w:firstLineChars="0"/>
              <w:jc w:val="center"/>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pStyle w:val="27"/>
              <w:spacing w:before="0" w:line="400" w:lineRule="exact"/>
              <w:ind w:firstLine="0" w:firstLineChars="0"/>
              <w:jc w:val="center"/>
              <w:rPr>
                <w:rFonts w:hint="eastAsia" w:ascii="仿宋" w:hAnsi="仿宋" w:eastAsia="仿宋" w:cs="仿宋"/>
                <w:color w:val="000000"/>
                <w:kern w:val="2"/>
                <w:sz w:val="24"/>
                <w:szCs w:val="24"/>
                <w:highlight w:val="none"/>
                <w:lang w:val="en-US" w:eastAsia="zh-CN"/>
              </w:rPr>
            </w:pPr>
            <w:r>
              <w:rPr>
                <w:rFonts w:hint="default" w:ascii="仿宋" w:hAnsi="仿宋" w:eastAsia="仿宋" w:cs="仿宋"/>
                <w:color w:val="000000"/>
                <w:kern w:val="2"/>
                <w:sz w:val="24"/>
                <w:szCs w:val="24"/>
                <w:highlight w:val="none"/>
                <w:lang w:val="en-US" w:eastAsia="zh-CN"/>
              </w:rPr>
              <w:t>售后服务</w:t>
            </w:r>
          </w:p>
        </w:tc>
        <w:tc>
          <w:tcPr>
            <w:tcW w:w="5274" w:type="dxa"/>
            <w:tcBorders>
              <w:top w:val="single" w:color="000000" w:sz="4" w:space="0"/>
              <w:left w:val="single" w:color="000000" w:sz="4" w:space="0"/>
              <w:bottom w:val="single" w:color="000000" w:sz="4" w:space="0"/>
              <w:right w:val="single" w:color="000000" w:sz="4" w:space="0"/>
            </w:tcBorders>
            <w:vAlign w:val="top"/>
          </w:tcPr>
          <w:p>
            <w:pPr>
              <w:pStyle w:val="27"/>
              <w:spacing w:before="0" w:line="400" w:lineRule="exact"/>
              <w:ind w:firstLine="0" w:firstLineChars="0"/>
              <w:rPr>
                <w:rFonts w:hint="eastAsia"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供应商提供的售后服务方案情况，对交货后出现</w:t>
            </w:r>
            <w:r>
              <w:rPr>
                <w:rFonts w:hint="eastAsia" w:ascii="仿宋" w:hAnsi="仿宋" w:eastAsia="仿宋" w:cs="仿宋"/>
                <w:sz w:val="24"/>
                <w:szCs w:val="24"/>
                <w:highlight w:val="none"/>
                <w:lang w:val="en-US" w:eastAsia="zh-CN"/>
              </w:rPr>
              <w:t>的材料破损维修</w:t>
            </w:r>
            <w:r>
              <w:rPr>
                <w:rFonts w:hint="default" w:ascii="仿宋" w:hAnsi="仿宋" w:eastAsia="仿宋" w:cs="仿宋"/>
                <w:sz w:val="24"/>
                <w:szCs w:val="24"/>
                <w:highlight w:val="none"/>
                <w:lang w:val="en-US" w:eastAsia="zh-CN"/>
              </w:rPr>
              <w:t>等问题所采取的措施</w:t>
            </w:r>
            <w:r>
              <w:rPr>
                <w:rFonts w:hint="eastAsia" w:ascii="仿宋" w:hAnsi="仿宋" w:eastAsia="仿宋" w:cs="仿宋"/>
                <w:sz w:val="24"/>
                <w:szCs w:val="24"/>
                <w:highlight w:val="none"/>
                <w:lang w:val="en-US" w:eastAsia="zh-CN"/>
              </w:rPr>
              <w:t>，酌情打分，好的得6-8分，一般的得3-5分，不甚满意的得0-2分，无描述不得分</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27"/>
              <w:spacing w:before="0" w:line="400" w:lineRule="exact"/>
              <w:ind w:firstLine="0" w:firstLineChars="0"/>
              <w:jc w:val="center"/>
              <w:rPr>
                <w:rFonts w:hint="default"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8.0</w:t>
            </w:r>
          </w:p>
        </w:tc>
      </w:tr>
    </w:tbl>
    <w:p>
      <w:pPr>
        <w:pStyle w:val="27"/>
        <w:spacing w:before="0" w:line="440" w:lineRule="exact"/>
        <w:ind w:firstLine="420" w:firstLineChars="0"/>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商务分（</w:t>
      </w:r>
      <w:bookmarkStart w:id="10" w:name="swScore"/>
      <w:r>
        <w:rPr>
          <w:rFonts w:hint="eastAsia" w:ascii="仿宋" w:hAnsi="仿宋" w:eastAsia="仿宋" w:cs="仿宋"/>
          <w:b/>
          <w:color w:val="000000"/>
          <w:sz w:val="24"/>
          <w:szCs w:val="24"/>
          <w:highlight w:val="none"/>
          <w:lang w:val="en-US" w:eastAsia="zh-CN"/>
        </w:rPr>
        <w:t>20</w:t>
      </w:r>
      <w:r>
        <w:rPr>
          <w:rFonts w:hint="eastAsia" w:ascii="仿宋" w:hAnsi="仿宋" w:eastAsia="仿宋" w:cs="仿宋"/>
          <w:b/>
          <w:color w:val="000000"/>
          <w:sz w:val="24"/>
          <w:szCs w:val="24"/>
          <w:highlight w:val="none"/>
          <w:lang w:eastAsia="zh-CN"/>
        </w:rPr>
        <w:t>.0</w:t>
      </w:r>
      <w:bookmarkEnd w:id="10"/>
      <w:r>
        <w:rPr>
          <w:rFonts w:hint="eastAsia" w:ascii="仿宋" w:hAnsi="仿宋" w:eastAsia="仿宋" w:cs="仿宋"/>
          <w:b/>
          <w:color w:val="000000"/>
          <w:sz w:val="24"/>
          <w:szCs w:val="24"/>
          <w:highlight w:val="none"/>
        </w:rPr>
        <w:t>分）：</w:t>
      </w:r>
    </w:p>
    <w:tbl>
      <w:tblPr>
        <w:tblStyle w:val="18"/>
        <w:tblW w:w="80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5277"/>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tcBorders>
              <w:top w:val="single" w:color="000000" w:sz="4" w:space="0"/>
              <w:left w:val="single" w:color="000000" w:sz="4" w:space="0"/>
              <w:bottom w:val="single" w:color="000000" w:sz="4" w:space="0"/>
              <w:right w:val="single" w:color="000000" w:sz="4" w:space="0"/>
            </w:tcBorders>
            <w:vAlign w:val="top"/>
          </w:tcPr>
          <w:p>
            <w:pPr>
              <w:pStyle w:val="27"/>
              <w:spacing w:before="0" w:line="440" w:lineRule="exact"/>
              <w:ind w:firstLine="0" w:firstLineChars="0"/>
              <w:rPr>
                <w:rFonts w:hint="eastAsia" w:ascii="仿宋" w:hAnsi="仿宋" w:eastAsia="仿宋" w:cs="仿宋"/>
                <w:b/>
                <w:color w:val="000000"/>
                <w:kern w:val="2"/>
                <w:sz w:val="24"/>
                <w:szCs w:val="24"/>
                <w:highlight w:val="none"/>
                <w:lang w:val="en-US" w:eastAsia="zh-CN"/>
              </w:rPr>
            </w:pPr>
            <w:bookmarkStart w:id="11" w:name="scoringRules1"/>
            <w:r>
              <w:rPr>
                <w:rFonts w:hint="eastAsia" w:ascii="仿宋" w:hAnsi="仿宋" w:eastAsia="仿宋" w:cs="仿宋"/>
                <w:b/>
                <w:color w:val="000000"/>
                <w:kern w:val="2"/>
                <w:sz w:val="24"/>
                <w:szCs w:val="24"/>
                <w:highlight w:val="none"/>
                <w:lang w:val="en-US" w:eastAsia="zh-CN"/>
              </w:rPr>
              <w:t>评分细则</w:t>
            </w:r>
          </w:p>
        </w:tc>
        <w:tc>
          <w:tcPr>
            <w:tcW w:w="5277" w:type="dxa"/>
            <w:tcBorders>
              <w:top w:val="single" w:color="000000" w:sz="4" w:space="0"/>
              <w:left w:val="single" w:color="000000" w:sz="4" w:space="0"/>
              <w:bottom w:val="single" w:color="000000" w:sz="4" w:space="0"/>
              <w:right w:val="single" w:color="000000" w:sz="4" w:space="0"/>
            </w:tcBorders>
            <w:vAlign w:val="top"/>
          </w:tcPr>
          <w:p>
            <w:pPr>
              <w:pStyle w:val="27"/>
              <w:spacing w:before="0" w:line="440" w:lineRule="exact"/>
              <w:ind w:firstLine="0" w:firstLineChars="0"/>
              <w:rPr>
                <w:rFonts w:hint="eastAsia" w:ascii="仿宋" w:hAnsi="仿宋" w:eastAsia="仿宋" w:cs="仿宋"/>
                <w:b/>
                <w:color w:val="000000"/>
                <w:kern w:val="2"/>
                <w:sz w:val="24"/>
                <w:szCs w:val="24"/>
                <w:highlight w:val="none"/>
                <w:lang w:val="en-US" w:eastAsia="zh-CN"/>
              </w:rPr>
            </w:pPr>
            <w:r>
              <w:rPr>
                <w:rFonts w:hint="eastAsia" w:ascii="仿宋" w:hAnsi="仿宋" w:eastAsia="仿宋" w:cs="仿宋"/>
                <w:b/>
                <w:color w:val="000000"/>
                <w:kern w:val="2"/>
                <w:sz w:val="24"/>
                <w:szCs w:val="24"/>
                <w:highlight w:val="none"/>
                <w:lang w:val="en-US" w:eastAsia="zh-CN"/>
              </w:rPr>
              <w:t>评分细则内容</w:t>
            </w:r>
          </w:p>
        </w:tc>
        <w:tc>
          <w:tcPr>
            <w:tcW w:w="1248" w:type="dxa"/>
            <w:tcBorders>
              <w:top w:val="single" w:color="000000" w:sz="4" w:space="0"/>
              <w:left w:val="single" w:color="000000" w:sz="4" w:space="0"/>
              <w:bottom w:val="single" w:color="000000" w:sz="4" w:space="0"/>
              <w:right w:val="single" w:color="000000" w:sz="4" w:space="0"/>
            </w:tcBorders>
            <w:vAlign w:val="top"/>
          </w:tcPr>
          <w:p>
            <w:pPr>
              <w:pStyle w:val="27"/>
              <w:spacing w:before="0" w:line="440" w:lineRule="exact"/>
              <w:ind w:firstLine="0" w:firstLineChars="0"/>
              <w:rPr>
                <w:rFonts w:hint="eastAsia" w:ascii="仿宋" w:hAnsi="仿宋" w:eastAsia="仿宋" w:cs="仿宋"/>
                <w:b/>
                <w:color w:val="000000"/>
                <w:kern w:val="2"/>
                <w:sz w:val="24"/>
                <w:szCs w:val="24"/>
                <w:highlight w:val="none"/>
                <w:lang w:val="en-US" w:eastAsia="zh-CN"/>
              </w:rPr>
            </w:pPr>
            <w:r>
              <w:rPr>
                <w:rFonts w:hint="eastAsia" w:ascii="仿宋" w:hAnsi="仿宋" w:eastAsia="仿宋" w:cs="仿宋"/>
                <w:b/>
                <w:color w:val="000000"/>
                <w:kern w:val="2"/>
                <w:sz w:val="24"/>
                <w:szCs w:val="24"/>
                <w:highlight w:val="none"/>
                <w:lang w:val="en-US" w:eastAsia="zh-CN"/>
              </w:rPr>
              <w:t>分值(分)</w:t>
            </w:r>
          </w:p>
        </w:tc>
      </w:tr>
      <w:bookmarkEnd w:id="1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27"/>
              <w:spacing w:before="0" w:line="440" w:lineRule="exact"/>
              <w:ind w:firstLine="0" w:firstLineChars="0"/>
              <w:jc w:val="center"/>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企业业绩</w:t>
            </w:r>
          </w:p>
        </w:tc>
        <w:tc>
          <w:tcPr>
            <w:tcW w:w="5277" w:type="dxa"/>
            <w:tcBorders>
              <w:top w:val="single" w:color="000000" w:sz="4" w:space="0"/>
              <w:left w:val="single" w:color="000000" w:sz="4" w:space="0"/>
              <w:bottom w:val="single" w:color="000000" w:sz="4" w:space="0"/>
              <w:right w:val="single" w:color="000000" w:sz="4" w:space="0"/>
            </w:tcBorders>
            <w:vAlign w:val="top"/>
          </w:tcPr>
          <w:p>
            <w:pPr>
              <w:pStyle w:val="27"/>
              <w:spacing w:before="0" w:line="440" w:lineRule="exact"/>
              <w:ind w:firstLine="0" w:firstLineChars="0"/>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投标人近3年（2018年1月1日至今）以来从事类似项目的业绩证明，每一个得5分。(最高不超过15分，时间以合同签订时间为准，否则不得分）</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
              <w:spacing w:before="0" w:line="440" w:lineRule="exact"/>
              <w:ind w:firstLine="0" w:firstLineChars="0"/>
              <w:jc w:val="center"/>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27"/>
              <w:spacing w:before="0" w:line="440" w:lineRule="exact"/>
              <w:ind w:firstLine="0" w:firstLineChars="0"/>
              <w:jc w:val="center"/>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企业荣誉</w:t>
            </w:r>
          </w:p>
        </w:tc>
        <w:tc>
          <w:tcPr>
            <w:tcW w:w="5277" w:type="dxa"/>
            <w:tcBorders>
              <w:top w:val="single" w:color="000000" w:sz="4" w:space="0"/>
              <w:left w:val="single" w:color="000000" w:sz="4" w:space="0"/>
              <w:bottom w:val="single" w:color="000000" w:sz="4" w:space="0"/>
              <w:right w:val="single" w:color="000000" w:sz="4" w:space="0"/>
            </w:tcBorders>
            <w:vAlign w:val="top"/>
          </w:tcPr>
          <w:p>
            <w:pPr>
              <w:pStyle w:val="27"/>
              <w:spacing w:before="0" w:line="440" w:lineRule="exact"/>
              <w:ind w:firstLine="0" w:firstLineChars="0"/>
              <w:rPr>
                <w:rFonts w:hint="default" w:ascii="仿宋" w:hAnsi="仿宋" w:eastAsia="仿宋" w:cs="仿宋"/>
                <w:color w:val="000000"/>
                <w:kern w:val="2"/>
                <w:sz w:val="24"/>
                <w:szCs w:val="24"/>
                <w:highlight w:val="none"/>
                <w:lang w:val="en-US" w:eastAsia="zh-CN"/>
              </w:rPr>
            </w:pPr>
            <w:r>
              <w:rPr>
                <w:rFonts w:hint="default" w:ascii="仿宋" w:hAnsi="仿宋" w:eastAsia="仿宋" w:cs="仿宋"/>
                <w:color w:val="000000"/>
                <w:kern w:val="2"/>
                <w:sz w:val="24"/>
                <w:szCs w:val="24"/>
                <w:highlight w:val="none"/>
                <w:lang w:val="en-US" w:eastAsia="zh-CN"/>
              </w:rPr>
              <w:t>投标人具有与本项目相关的</w:t>
            </w:r>
            <w:r>
              <w:rPr>
                <w:rFonts w:hint="eastAsia" w:ascii="仿宋" w:hAnsi="仿宋" w:eastAsia="仿宋" w:cs="仿宋"/>
                <w:color w:val="000000"/>
                <w:kern w:val="2"/>
                <w:sz w:val="24"/>
                <w:szCs w:val="24"/>
                <w:highlight w:val="none"/>
                <w:lang w:val="en-US" w:eastAsia="zh-CN"/>
              </w:rPr>
              <w:t>软件著作权或发明专利等的有一个得5分，最高不超过5分。（软件著作权或发明专利的证书须在公告发布前取得）</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7"/>
              <w:spacing w:before="0" w:line="440" w:lineRule="exact"/>
              <w:ind w:firstLine="0" w:firstLineChars="0"/>
              <w:jc w:val="center"/>
              <w:rPr>
                <w:rFonts w:hint="default"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5.0</w:t>
            </w:r>
          </w:p>
        </w:tc>
      </w:tr>
    </w:tbl>
    <w:p>
      <w:pPr>
        <w:pStyle w:val="27"/>
        <w:spacing w:before="0"/>
        <w:ind w:firstLine="0" w:firstLineChars="0"/>
        <w:rPr>
          <w:rFonts w:ascii="宋体" w:hAnsi="宋体" w:cs="宋体"/>
          <w:b/>
          <w:szCs w:val="24"/>
        </w:rPr>
      </w:pPr>
      <w:r>
        <w:rPr>
          <w:rFonts w:hint="eastAsia" w:ascii="宋体" w:hAnsi="宋体" w:cs="宋体"/>
          <w:b/>
          <w:szCs w:val="24"/>
        </w:rPr>
        <w:t>38、解释权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专用条款与通用条款有矛盾之处，以专用条款为准。凡涉及本次招标文件的解释权属于采购人与</w:t>
      </w:r>
      <w:r>
        <w:rPr>
          <w:rFonts w:hint="eastAsia" w:ascii="宋体" w:hAnsi="宋体" w:cs="宋体"/>
          <w:kern w:val="0"/>
          <w:sz w:val="24"/>
          <w:lang w:eastAsia="zh-CN"/>
        </w:rPr>
        <w:t>浙江中际工程项目管理有限公司</w:t>
      </w:r>
      <w:r>
        <w:rPr>
          <w:rFonts w:hint="eastAsia" w:ascii="宋体" w:hAnsi="宋体" w:cs="宋体"/>
          <w:kern w:val="0"/>
          <w:sz w:val="24"/>
        </w:rPr>
        <w:t xml:space="preserve">。  </w:t>
      </w:r>
    </w:p>
    <w:p>
      <w:pPr>
        <w:spacing w:line="360" w:lineRule="auto"/>
        <w:ind w:firstLine="880" w:firstLineChars="200"/>
        <w:jc w:val="center"/>
        <w:rPr>
          <w:rFonts w:hint="eastAsia" w:ascii="宋体" w:hAnsi="宋体" w:cs="宋体"/>
          <w:b/>
          <w:sz w:val="24"/>
          <w:szCs w:val="20"/>
        </w:rPr>
      </w:pPr>
      <w:bookmarkStart w:id="12" w:name="_Toc482110466"/>
      <w:r>
        <w:rPr>
          <w:rFonts w:hint="eastAsia" w:ascii="宋体" w:hAnsi="宋体" w:cs="宋体"/>
          <w:sz w:val="44"/>
          <w:szCs w:val="44"/>
        </w:rPr>
        <w:br w:type="page"/>
      </w:r>
      <w:bookmarkEnd w:id="12"/>
      <w:bookmarkStart w:id="13" w:name="_Toc30441"/>
      <w:bookmarkStart w:id="14" w:name="_Toc29888"/>
      <w:bookmarkStart w:id="15" w:name="_Toc482110467"/>
      <w:r>
        <w:rPr>
          <w:rFonts w:hint="eastAsia" w:ascii="宋体" w:hAnsi="宋体" w:cs="宋体"/>
          <w:b/>
          <w:bCs/>
          <w:sz w:val="44"/>
          <w:szCs w:val="44"/>
        </w:rPr>
        <w:t>第三部分 采购需求</w:t>
      </w:r>
      <w:bookmarkEnd w:id="13"/>
    </w:p>
    <w:p>
      <w:pPr>
        <w:rPr>
          <w:rFonts w:hint="eastAsia"/>
          <w:lang w:val="en-US" w:eastAsia="zh-CN"/>
        </w:rPr>
      </w:pPr>
    </w:p>
    <w:p>
      <w:pPr>
        <w:pStyle w:val="10"/>
        <w:numPr>
          <w:ilvl w:val="0"/>
          <w:numId w:val="4"/>
        </w:numPr>
        <w:adjustRightInd w:val="0"/>
        <w:snapToGrid w:val="0"/>
        <w:spacing w:line="360" w:lineRule="auto"/>
        <w:ind w:firstLine="0"/>
        <w:rPr>
          <w:rFonts w:hint="eastAsia" w:ascii="宋体" w:hAnsi="宋体" w:cs="宋体"/>
          <w:b/>
          <w:color w:val="000000"/>
          <w:sz w:val="24"/>
          <w:highlight w:val="none"/>
        </w:rPr>
      </w:pPr>
      <w:r>
        <w:rPr>
          <w:rFonts w:hint="eastAsia" w:ascii="宋体" w:hAnsi="宋体" w:cs="宋体"/>
          <w:b/>
          <w:color w:val="000000"/>
          <w:sz w:val="24"/>
        </w:rPr>
        <w:t>招标项目概况（</w:t>
      </w:r>
      <w:r>
        <w:rPr>
          <w:rFonts w:hint="eastAsia" w:ascii="宋体" w:hAnsi="宋体" w:cs="宋体"/>
          <w:b/>
          <w:color w:val="000000"/>
          <w:sz w:val="24"/>
          <w:highlight w:val="none"/>
        </w:rPr>
        <w:t>内容、用途、数量、简要技术要求等）：</w:t>
      </w:r>
    </w:p>
    <w:p>
      <w:pPr>
        <w:numPr>
          <w:ilvl w:val="0"/>
          <w:numId w:val="0"/>
        </w:numPr>
        <w:ind w:firstLine="480" w:firstLineChars="200"/>
        <w:rPr>
          <w:rFonts w:hint="eastAsia"/>
        </w:rPr>
      </w:pPr>
      <w:r>
        <w:rPr>
          <w:rFonts w:hint="eastAsia" w:ascii="宋体" w:hAnsi="宋体" w:eastAsia="宋体" w:cs="宋体"/>
          <w:sz w:val="24"/>
          <w:szCs w:val="24"/>
          <w:lang w:val="zh-CN"/>
        </w:rPr>
        <w:t>本项目为</w:t>
      </w:r>
      <w:r>
        <w:rPr>
          <w:rFonts w:hint="eastAsia" w:ascii="宋体" w:hAnsi="宋体" w:eastAsia="宋体" w:cs="宋体"/>
          <w:sz w:val="24"/>
          <w:szCs w:val="24"/>
          <w:lang w:val="zh-CN" w:eastAsia="zh-CN"/>
        </w:rPr>
        <w:t>垃圾集置点采购</w:t>
      </w:r>
      <w:r>
        <w:rPr>
          <w:rFonts w:hint="eastAsia" w:ascii="宋体" w:hAnsi="宋体" w:eastAsia="宋体" w:cs="宋体"/>
          <w:sz w:val="24"/>
          <w:szCs w:val="24"/>
          <w:lang w:val="zh-CN"/>
        </w:rPr>
        <w:t>，采购内容包括采购清单中货物供货、调试、货物验收、质保期内的售后服务、配套附属的设计及施工等。报价包括货物运输费、售后服务费、有关部门的验收费、税金、措施费、政策性文件规定及合同包含的所有风险、责任等各项全部费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887"/>
        <w:gridCol w:w="1425"/>
        <w:gridCol w:w="4095"/>
        <w:gridCol w:w="660"/>
        <w:gridCol w:w="7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pStyle w:val="9"/>
              <w:keepNext w:val="0"/>
              <w:keepLines w:val="0"/>
              <w:pageBreakBefore w:val="0"/>
              <w:widowControl w:val="0"/>
              <w:kinsoku/>
              <w:wordWrap/>
              <w:overflowPunct/>
              <w:topLinePunct w:val="0"/>
              <w:bidi w:val="0"/>
              <w:adjustRightInd w:val="0"/>
              <w:snapToGrid/>
              <w:spacing w:line="240" w:lineRule="auto"/>
              <w:ind w:left="0" w:leftChars="0"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序号</w:t>
            </w:r>
          </w:p>
        </w:tc>
        <w:tc>
          <w:tcPr>
            <w:tcW w:w="887" w:type="dxa"/>
            <w:vAlign w:val="center"/>
          </w:tcPr>
          <w:p>
            <w:pPr>
              <w:pStyle w:val="9"/>
              <w:keepNext w:val="0"/>
              <w:keepLines w:val="0"/>
              <w:pageBreakBefore w:val="0"/>
              <w:widowControl w:val="0"/>
              <w:kinsoku/>
              <w:wordWrap/>
              <w:overflowPunct/>
              <w:topLinePunct w:val="0"/>
              <w:bidi w:val="0"/>
              <w:adjustRightInd w:val="0"/>
              <w:snapToGrid/>
              <w:spacing w:line="240" w:lineRule="auto"/>
              <w:ind w:left="0" w:leftChars="0"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名称</w:t>
            </w:r>
          </w:p>
        </w:tc>
        <w:tc>
          <w:tcPr>
            <w:tcW w:w="1425"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用途</w:t>
            </w:r>
          </w:p>
        </w:tc>
        <w:tc>
          <w:tcPr>
            <w:tcW w:w="4095" w:type="dxa"/>
            <w:vAlign w:val="center"/>
          </w:tcPr>
          <w:p>
            <w:pPr>
              <w:pStyle w:val="9"/>
              <w:keepNext w:val="0"/>
              <w:keepLines w:val="0"/>
              <w:pageBreakBefore w:val="0"/>
              <w:widowControl w:val="0"/>
              <w:kinsoku/>
              <w:wordWrap/>
              <w:overflowPunct/>
              <w:topLinePunct w:val="0"/>
              <w:bidi w:val="0"/>
              <w:adjustRightInd w:val="0"/>
              <w:snapToGrid/>
              <w:spacing w:line="240" w:lineRule="auto"/>
              <w:ind w:left="0" w:leftChars="0"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技术要求</w:t>
            </w:r>
          </w:p>
        </w:tc>
        <w:tc>
          <w:tcPr>
            <w:tcW w:w="660" w:type="dxa"/>
            <w:vAlign w:val="center"/>
          </w:tcPr>
          <w:p>
            <w:pPr>
              <w:pStyle w:val="9"/>
              <w:keepNext w:val="0"/>
              <w:keepLines w:val="0"/>
              <w:pageBreakBefore w:val="0"/>
              <w:widowControl w:val="0"/>
              <w:kinsoku/>
              <w:wordWrap/>
              <w:overflowPunct/>
              <w:topLinePunct w:val="0"/>
              <w:bidi w:val="0"/>
              <w:adjustRightInd w:val="0"/>
              <w:snapToGrid/>
              <w:spacing w:line="240" w:lineRule="auto"/>
              <w:ind w:left="0" w:leftChars="0"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数量</w:t>
            </w:r>
          </w:p>
        </w:tc>
        <w:tc>
          <w:tcPr>
            <w:tcW w:w="750" w:type="dxa"/>
            <w:vAlign w:val="center"/>
          </w:tcPr>
          <w:p>
            <w:pPr>
              <w:pStyle w:val="9"/>
              <w:keepNext w:val="0"/>
              <w:keepLines w:val="0"/>
              <w:pageBreakBefore w:val="0"/>
              <w:widowControl w:val="0"/>
              <w:kinsoku/>
              <w:wordWrap/>
              <w:overflowPunct/>
              <w:topLinePunct w:val="0"/>
              <w:bidi w:val="0"/>
              <w:adjustRightInd w:val="0"/>
              <w:snapToGrid/>
              <w:spacing w:line="240" w:lineRule="auto"/>
              <w:ind w:left="0" w:leftChars="0"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单位</w:t>
            </w:r>
          </w:p>
        </w:tc>
        <w:tc>
          <w:tcPr>
            <w:tcW w:w="709"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keepNext w:val="0"/>
              <w:keepLines w:val="0"/>
              <w:pageBreakBefore w:val="0"/>
              <w:widowControl w:val="0"/>
              <w:kinsoku/>
              <w:wordWrap/>
              <w:overflowPunct/>
              <w:topLinePunct w:val="0"/>
              <w:bidi w:val="0"/>
              <w:adjustRightInd w:val="0"/>
              <w:snapToGrid/>
              <w:spacing w:line="240" w:lineRule="auto"/>
              <w:ind w:firstLineChars="0"/>
              <w:jc w:val="center"/>
              <w:textAlignment w:val="auto"/>
              <w:rPr>
                <w:rFonts w:hint="default"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1</w:t>
            </w:r>
          </w:p>
        </w:tc>
        <w:tc>
          <w:tcPr>
            <w:tcW w:w="887"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收集点厢房</w:t>
            </w:r>
          </w:p>
        </w:tc>
        <w:tc>
          <w:tcPr>
            <w:tcW w:w="142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垃圾投放的遮风避雨，形象美观大方</w:t>
            </w:r>
          </w:p>
        </w:tc>
        <w:tc>
          <w:tcPr>
            <w:tcW w:w="409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both"/>
              <w:textAlignment w:val="auto"/>
              <w:rPr>
                <w:rFonts w:hint="eastAsia" w:ascii="Times New Roman" w:hAnsi="宋体" w:cs="宋体"/>
                <w:color w:val="000000"/>
                <w:sz w:val="21"/>
                <w:szCs w:val="21"/>
                <w:highlight w:val="none"/>
                <w:vertAlign w:val="baseline"/>
                <w:lang w:val="en-US" w:eastAsia="zh-CN"/>
              </w:rPr>
            </w:pPr>
            <w:r>
              <w:rPr>
                <w:rFonts w:hint="eastAsia" w:ascii="Times New Roman" w:hAnsi="宋体" w:cs="宋体"/>
                <w:color w:val="000000"/>
                <w:sz w:val="21"/>
                <w:szCs w:val="21"/>
                <w:highlight w:val="none"/>
                <w:vertAlign w:val="baseline"/>
                <w:lang w:val="en-US" w:eastAsia="zh-CN"/>
              </w:rPr>
              <w:t>尺寸：6m*3m*2.8m</w:t>
            </w:r>
          </w:p>
          <w:p>
            <w:pPr>
              <w:keepNext w:val="0"/>
              <w:keepLines w:val="0"/>
              <w:pageBreakBefore w:val="0"/>
              <w:widowControl w:val="0"/>
              <w:kinsoku/>
              <w:wordWrap/>
              <w:overflowPunct/>
              <w:topLinePunct w:val="0"/>
              <w:bidi w:val="0"/>
              <w:adjustRightInd w:val="0"/>
              <w:snapToGrid/>
              <w:spacing w:line="240" w:lineRule="auto"/>
              <w:ind w:firstLine="0" w:firstLineChars="0"/>
              <w:jc w:val="both"/>
              <w:textAlignment w:val="auto"/>
              <w:rPr>
                <w:rFonts w:hint="default" w:ascii="Times New Roman" w:hAnsi="宋体" w:cs="宋体"/>
                <w:color w:val="000000"/>
                <w:sz w:val="21"/>
                <w:szCs w:val="21"/>
                <w:highlight w:val="none"/>
                <w:vertAlign w:val="baseline"/>
                <w:lang w:val="en-US" w:eastAsia="zh-CN"/>
              </w:rPr>
            </w:pPr>
            <w:r>
              <w:rPr>
                <w:rFonts w:hint="eastAsia" w:ascii="Times New Roman" w:hAnsi="宋体" w:cs="宋体"/>
                <w:color w:val="000000"/>
                <w:sz w:val="21"/>
                <w:szCs w:val="21"/>
                <w:highlight w:val="none"/>
                <w:vertAlign w:val="baseline"/>
                <w:lang w:val="en-US" w:eastAsia="zh-CN"/>
              </w:rPr>
              <w:t>外部用材不低于12mm金属雕花板镀锌板材质，颜色色调需因地制宜、合理设计与周边环境相协调。内部用材不低于18mm</w:t>
            </w:r>
            <w:r>
              <w:rPr>
                <w:rFonts w:hint="eastAsia" w:hAnsi="宋体" w:cs="宋体"/>
                <w:color w:val="000000"/>
                <w:sz w:val="21"/>
                <w:szCs w:val="21"/>
                <w:highlight w:val="none"/>
                <w:vertAlign w:val="baseline"/>
                <w:lang w:val="en-US" w:eastAsia="zh-CN"/>
              </w:rPr>
              <w:t>，</w:t>
            </w:r>
            <w:r>
              <w:rPr>
                <w:rFonts w:hint="eastAsia" w:ascii="Times New Roman" w:hAnsi="宋体" w:cs="宋体"/>
                <w:color w:val="000000"/>
                <w:sz w:val="21"/>
                <w:szCs w:val="21"/>
                <w:highlight w:val="none"/>
                <w:vertAlign w:val="baseline"/>
                <w:lang w:val="en-US" w:eastAsia="zh-CN"/>
              </w:rPr>
              <w:t>木塑板集成墙板材质，要求美观、耐用、易清洁。建筑总体为吊装式建筑，需具备良好的通风，具有1个</w:t>
            </w:r>
            <w:r>
              <w:rPr>
                <w:rFonts w:hint="eastAsia" w:hAnsi="宋体" w:cs="宋体"/>
                <w:color w:val="000000"/>
                <w:sz w:val="21"/>
                <w:szCs w:val="21"/>
                <w:highlight w:val="none"/>
                <w:vertAlign w:val="baseline"/>
                <w:lang w:val="en-US" w:eastAsia="zh-CN"/>
              </w:rPr>
              <w:t>及</w:t>
            </w:r>
            <w:r>
              <w:rPr>
                <w:rFonts w:hint="eastAsia" w:ascii="Times New Roman" w:hAnsi="宋体" w:cs="宋体"/>
                <w:color w:val="000000"/>
                <w:sz w:val="21"/>
                <w:szCs w:val="21"/>
                <w:highlight w:val="none"/>
                <w:vertAlign w:val="baseline"/>
                <w:lang w:val="en-US" w:eastAsia="zh-CN"/>
              </w:rPr>
              <w:t>以上的窗户；需要具有隔热、遮阳、防水等措施。整个收集点至少划分成投放区、空桶区、满桶区、清洗区、宣传区、监控区和可回收物暂存区七个空间。</w:t>
            </w:r>
          </w:p>
        </w:tc>
        <w:tc>
          <w:tcPr>
            <w:tcW w:w="66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2</w:t>
            </w:r>
          </w:p>
        </w:tc>
        <w:tc>
          <w:tcPr>
            <w:tcW w:w="75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间</w:t>
            </w:r>
          </w:p>
        </w:tc>
        <w:tc>
          <w:tcPr>
            <w:tcW w:w="709"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2</w:t>
            </w:r>
          </w:p>
        </w:tc>
        <w:tc>
          <w:tcPr>
            <w:tcW w:w="887"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信息化管理系统</w:t>
            </w:r>
          </w:p>
        </w:tc>
        <w:tc>
          <w:tcPr>
            <w:tcW w:w="142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垃圾分类溯源，与城市大脑相对接</w:t>
            </w:r>
          </w:p>
        </w:tc>
        <w:tc>
          <w:tcPr>
            <w:tcW w:w="409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both"/>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要求具有信息化管理系统，</w:t>
            </w:r>
            <w:r>
              <w:rPr>
                <w:rFonts w:hint="eastAsia"/>
                <w:lang w:val="en-US" w:eastAsia="zh-CN"/>
              </w:rPr>
              <w:t>能够与城市大脑相对接；至少具有物业、社区、街道三级互相套嵌的账户设置功能；能够查看不同账号下对应的设备、人员和分类情况等实时数据；能够对分类质量异常用户进行自动报警；具有手机端操作功能，能够满足居民移动化参与，工作人员移动化办公。</w:t>
            </w:r>
          </w:p>
        </w:tc>
        <w:tc>
          <w:tcPr>
            <w:tcW w:w="66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1</w:t>
            </w:r>
          </w:p>
        </w:tc>
        <w:tc>
          <w:tcPr>
            <w:tcW w:w="75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套</w:t>
            </w:r>
          </w:p>
        </w:tc>
        <w:tc>
          <w:tcPr>
            <w:tcW w:w="709"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3</w:t>
            </w:r>
          </w:p>
        </w:tc>
        <w:tc>
          <w:tcPr>
            <w:tcW w:w="887"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垃圾投放设备</w:t>
            </w:r>
          </w:p>
        </w:tc>
        <w:tc>
          <w:tcPr>
            <w:tcW w:w="142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用户识别、垃圾投放、分类评价、垃圾称重</w:t>
            </w:r>
          </w:p>
        </w:tc>
        <w:tc>
          <w:tcPr>
            <w:tcW w:w="409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both"/>
              <w:textAlignment w:val="auto"/>
              <w:rPr>
                <w:rFonts w:hint="eastAsia" w:hAnsi="宋体" w:cs="宋体"/>
                <w:color w:val="000000"/>
                <w:sz w:val="21"/>
                <w:szCs w:val="21"/>
                <w:highlight w:val="none"/>
                <w:vertAlign w:val="baseline"/>
                <w:lang w:val="en-US" w:eastAsia="zh-CN"/>
              </w:rPr>
            </w:pPr>
            <w:r>
              <w:rPr>
                <w:rFonts w:hint="eastAsia"/>
                <w:lang w:val="en-US" w:eastAsia="zh-CN"/>
              </w:rPr>
              <w:t>要配置易腐垃圾、其他垃圾、可回收物、有害垃圾4类收集容器，每类收集容器要相对独立密闭，在易腐垃圾和其他垃圾收集容器中要有专门的除臭功能，防止异味扩散。要有专门平台便于居民自行破袋和督导员打分督导。投放区需要实现数字化，在居民识别上至少要有3种及以上途径能够实现居民的溯源，以方便各类居民投放；在分类质量上，要能够实现对居民分类质量的数字化评价和评价依据照片的同步记录功能；在垃圾重量上，要能够对居民投放垃圾重量精准称重，精准度不低于10g。</w:t>
            </w:r>
          </w:p>
        </w:tc>
        <w:tc>
          <w:tcPr>
            <w:tcW w:w="66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2</w:t>
            </w:r>
          </w:p>
        </w:tc>
        <w:tc>
          <w:tcPr>
            <w:tcW w:w="75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套</w:t>
            </w:r>
          </w:p>
        </w:tc>
        <w:tc>
          <w:tcPr>
            <w:tcW w:w="709"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4</w:t>
            </w:r>
          </w:p>
        </w:tc>
        <w:tc>
          <w:tcPr>
            <w:tcW w:w="887"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数字看板</w:t>
            </w:r>
          </w:p>
        </w:tc>
        <w:tc>
          <w:tcPr>
            <w:tcW w:w="142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点位情况介绍、居民分类实时数据、实时排名、垃圾分类宣传</w:t>
            </w:r>
          </w:p>
        </w:tc>
        <w:tc>
          <w:tcPr>
            <w:tcW w:w="409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both"/>
              <w:textAlignment w:val="auto"/>
              <w:rPr>
                <w:rFonts w:hint="eastAsia"/>
                <w:lang w:val="en-US" w:eastAsia="zh-CN"/>
              </w:rPr>
            </w:pPr>
            <w:r>
              <w:rPr>
                <w:rFonts w:hint="eastAsia"/>
                <w:lang w:val="en-US" w:eastAsia="zh-CN"/>
              </w:rPr>
              <w:t>配置不低于55寸的液晶显示器，以收集点为单位，显示本投放点覆盖的居民数量、参与率、正确率，居民投放垃圾的实时数据，以及居民的分类排名和垃圾减量等数据。</w:t>
            </w:r>
          </w:p>
        </w:tc>
        <w:tc>
          <w:tcPr>
            <w:tcW w:w="66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2</w:t>
            </w:r>
          </w:p>
        </w:tc>
        <w:tc>
          <w:tcPr>
            <w:tcW w:w="75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台</w:t>
            </w:r>
          </w:p>
        </w:tc>
        <w:tc>
          <w:tcPr>
            <w:tcW w:w="709"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5</w:t>
            </w:r>
          </w:p>
        </w:tc>
        <w:tc>
          <w:tcPr>
            <w:tcW w:w="887"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监控</w:t>
            </w:r>
          </w:p>
        </w:tc>
        <w:tc>
          <w:tcPr>
            <w:tcW w:w="142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监控乱投乱放</w:t>
            </w:r>
          </w:p>
        </w:tc>
        <w:tc>
          <w:tcPr>
            <w:tcW w:w="409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both"/>
              <w:textAlignment w:val="auto"/>
              <w:rPr>
                <w:rFonts w:hint="eastAsia"/>
                <w:lang w:val="en-US" w:eastAsia="zh-CN"/>
              </w:rPr>
            </w:pPr>
            <w:r>
              <w:rPr>
                <w:rFonts w:hint="eastAsia"/>
                <w:lang w:val="en-US" w:eastAsia="zh-CN"/>
              </w:rPr>
              <w:t>覆盖投放区外围至少3米区域，具有定时投放时间段外自动抓拍乱扔垃圾人员照片，同步语言提醒的功能，实现24小时监控，在管理系统中能一键调阅。</w:t>
            </w:r>
          </w:p>
          <w:p>
            <w:pPr>
              <w:keepNext w:val="0"/>
              <w:keepLines w:val="0"/>
              <w:pageBreakBefore w:val="0"/>
              <w:widowControl w:val="0"/>
              <w:kinsoku/>
              <w:wordWrap/>
              <w:overflowPunct/>
              <w:topLinePunct w:val="0"/>
              <w:bidi w:val="0"/>
              <w:adjustRightInd w:val="0"/>
              <w:snapToGrid/>
              <w:spacing w:line="240" w:lineRule="auto"/>
              <w:ind w:firstLine="0" w:firstLineChars="0"/>
              <w:jc w:val="both"/>
              <w:textAlignment w:val="auto"/>
              <w:rPr>
                <w:rFonts w:hint="eastAsia"/>
                <w:lang w:val="en-US" w:eastAsia="zh-CN"/>
              </w:rPr>
            </w:pPr>
          </w:p>
        </w:tc>
        <w:tc>
          <w:tcPr>
            <w:tcW w:w="66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6</w:t>
            </w:r>
          </w:p>
        </w:tc>
        <w:tc>
          <w:tcPr>
            <w:tcW w:w="75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台</w:t>
            </w:r>
          </w:p>
        </w:tc>
        <w:tc>
          <w:tcPr>
            <w:tcW w:w="709"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6</w:t>
            </w:r>
          </w:p>
        </w:tc>
        <w:tc>
          <w:tcPr>
            <w:tcW w:w="887"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信息宣传牌</w:t>
            </w:r>
          </w:p>
        </w:tc>
        <w:tc>
          <w:tcPr>
            <w:tcW w:w="1425" w:type="dxa"/>
            <w:vAlign w:val="center"/>
          </w:tcPr>
          <w:p>
            <w:pPr>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垃圾分类信息公示、管理制度上墙</w:t>
            </w:r>
          </w:p>
        </w:tc>
        <w:tc>
          <w:tcPr>
            <w:tcW w:w="4095"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both"/>
              <w:textAlignment w:val="auto"/>
              <w:rPr>
                <w:rFonts w:hint="eastAsia" w:hAnsi="宋体" w:cs="宋体"/>
                <w:color w:val="000000"/>
                <w:sz w:val="21"/>
                <w:szCs w:val="21"/>
                <w:highlight w:val="none"/>
                <w:vertAlign w:val="baseline"/>
                <w:lang w:val="en-US" w:eastAsia="zh-CN"/>
              </w:rPr>
            </w:pPr>
            <w:r>
              <w:rPr>
                <w:rFonts w:hint="eastAsia" w:ascii="Times New Roman" w:hAnsi="Times New Roman" w:eastAsia="宋体" w:cs="Times New Roman"/>
                <w:kern w:val="2"/>
                <w:sz w:val="21"/>
                <w:szCs w:val="24"/>
                <w:lang w:val="en-US" w:eastAsia="zh-CN" w:bidi="ar-SA"/>
              </w:rPr>
              <w:t>具有一套符合杭州市城管要求的垃圾分类宣传信息牌。</w:t>
            </w:r>
          </w:p>
        </w:tc>
        <w:tc>
          <w:tcPr>
            <w:tcW w:w="66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default"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2</w:t>
            </w:r>
          </w:p>
        </w:tc>
        <w:tc>
          <w:tcPr>
            <w:tcW w:w="750"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r>
              <w:rPr>
                <w:rFonts w:hint="eastAsia" w:hAnsi="宋体" w:cs="宋体"/>
                <w:color w:val="000000"/>
                <w:sz w:val="21"/>
                <w:szCs w:val="21"/>
                <w:highlight w:val="none"/>
                <w:vertAlign w:val="baseline"/>
                <w:lang w:val="en-US" w:eastAsia="zh-CN"/>
              </w:rPr>
              <w:t>套</w:t>
            </w:r>
          </w:p>
        </w:tc>
        <w:tc>
          <w:tcPr>
            <w:tcW w:w="709" w:type="dxa"/>
            <w:vAlign w:val="center"/>
          </w:tcPr>
          <w:p>
            <w:pPr>
              <w:pStyle w:val="9"/>
              <w:keepNext w:val="0"/>
              <w:keepLines w:val="0"/>
              <w:pageBreakBefore w:val="0"/>
              <w:widowControl w:val="0"/>
              <w:kinsoku/>
              <w:wordWrap/>
              <w:overflowPunct/>
              <w:topLinePunct w:val="0"/>
              <w:bidi w:val="0"/>
              <w:adjustRightInd w:val="0"/>
              <w:snapToGrid/>
              <w:spacing w:line="240" w:lineRule="auto"/>
              <w:ind w:firstLine="0" w:firstLineChars="0"/>
              <w:jc w:val="center"/>
              <w:textAlignment w:val="auto"/>
              <w:rPr>
                <w:rFonts w:hint="eastAsia" w:hAnsi="宋体" w:cs="宋体"/>
                <w:color w:val="000000"/>
                <w:sz w:val="21"/>
                <w:szCs w:val="21"/>
                <w:highlight w:val="none"/>
                <w:vertAlign w:val="baseline"/>
                <w:lang w:val="en-US" w:eastAsia="zh-CN"/>
              </w:rPr>
            </w:pPr>
          </w:p>
        </w:tc>
      </w:tr>
    </w:tbl>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FF0000"/>
          <w:sz w:val="24"/>
          <w:szCs w:val="24"/>
          <w:highlight w:val="none"/>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货款结算方式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val="zh-CN" w:eastAsia="zh-CN"/>
        </w:rPr>
      </w:pPr>
      <w:r>
        <w:rPr>
          <w:rFonts w:hint="eastAsia" w:ascii="宋体" w:hAnsi="宋体" w:eastAsia="宋体" w:cs="宋体"/>
          <w:color w:val="FF0000"/>
          <w:sz w:val="24"/>
          <w:szCs w:val="24"/>
          <w:lang w:val="en-US" w:eastAsia="zh-CN"/>
        </w:rPr>
        <w:t>1</w:t>
      </w:r>
      <w:r>
        <w:rPr>
          <w:rFonts w:hint="eastAsia" w:ascii="宋体" w:hAnsi="宋体" w:eastAsia="宋体" w:cs="宋体"/>
          <w:color w:val="FF0000"/>
          <w:sz w:val="24"/>
          <w:szCs w:val="24"/>
          <w:lang w:val="zh-CN" w:eastAsia="zh-CN"/>
        </w:rPr>
        <w:t>、结算时供应商应向采购单位提供下列单据：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val="zh-CN" w:eastAsia="zh-CN"/>
        </w:rPr>
      </w:pPr>
      <w:r>
        <w:rPr>
          <w:rFonts w:hint="eastAsia" w:ascii="宋体" w:hAnsi="宋体" w:eastAsia="宋体" w:cs="宋体"/>
          <w:color w:val="FF0000"/>
          <w:sz w:val="24"/>
          <w:szCs w:val="24"/>
          <w:lang w:val="zh-CN" w:eastAsia="zh-CN"/>
        </w:rPr>
        <w:t>(1)填写全面、清楚的供货服务正规发票；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val="zh-CN" w:eastAsia="zh-CN"/>
        </w:rPr>
      </w:pPr>
      <w:r>
        <w:rPr>
          <w:rFonts w:hint="eastAsia" w:ascii="宋体" w:hAnsi="宋体" w:eastAsia="宋体" w:cs="宋体"/>
          <w:color w:val="FF0000"/>
          <w:sz w:val="24"/>
          <w:szCs w:val="24"/>
          <w:lang w:val="zh-CN" w:eastAsia="zh-CN"/>
        </w:rPr>
        <w:t>(2)供货的需求单和结算单（结算单应分项标明费用、配件费用，并必须有采购单位经办人签字）。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val="zh-CN" w:eastAsia="zh-CN"/>
        </w:rPr>
      </w:pPr>
      <w:r>
        <w:rPr>
          <w:rFonts w:hint="eastAsia" w:ascii="宋体" w:hAnsi="宋体" w:eastAsia="宋体" w:cs="宋体"/>
          <w:color w:val="FF0000"/>
          <w:sz w:val="24"/>
          <w:szCs w:val="24"/>
          <w:lang w:val="en-US" w:eastAsia="zh-CN"/>
        </w:rPr>
        <w:t>2</w:t>
      </w:r>
      <w:r>
        <w:rPr>
          <w:rFonts w:hint="eastAsia" w:ascii="宋体" w:hAnsi="宋体" w:eastAsia="宋体" w:cs="宋体"/>
          <w:color w:val="FF0000"/>
          <w:sz w:val="24"/>
          <w:szCs w:val="24"/>
          <w:lang w:val="zh-CN" w:eastAsia="zh-CN"/>
        </w:rPr>
        <w:t>、采购单位应对有关单据进行认真审核，审核无误后，须向供应商支付有关费用。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3、供应商单次供货中有三次以上存在严重质量问题的，经核实后，采购人有权提前终止合同，并要求供应商承担相关费用。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rPr>
          <w:rFonts w:hint="eastAsia" w:ascii="宋体" w:hAnsi="宋体" w:eastAsia="宋体" w:cs="Times New Roman"/>
          <w:b/>
          <w:bCs/>
          <w:color w:val="auto"/>
          <w:sz w:val="24"/>
          <w:highlight w:val="green"/>
          <w:lang w:val="en-US" w:eastAsia="zh-CN"/>
        </w:rPr>
      </w:pPr>
      <w:bookmarkStart w:id="16" w:name="_Toc152387398"/>
      <w:r>
        <w:rPr>
          <w:rFonts w:hint="eastAsia" w:ascii="宋体" w:hAnsi="宋体" w:eastAsia="宋体" w:cs="Times New Roman"/>
          <w:b/>
          <w:bCs/>
          <w:color w:val="auto"/>
          <w:sz w:val="24"/>
          <w:highlight w:val="green"/>
          <w:lang w:val="en-US" w:eastAsia="zh-CN"/>
        </w:rPr>
        <w:t>三、供货要求：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bCs/>
          <w:color w:val="000000"/>
          <w:sz w:val="24"/>
          <w:szCs w:val="24"/>
          <w:highlight w:val="green"/>
        </w:rPr>
      </w:pPr>
      <w:r>
        <w:rPr>
          <w:rFonts w:hint="eastAsia" w:ascii="宋体" w:hAnsi="宋体"/>
          <w:bCs/>
          <w:color w:val="000000"/>
          <w:sz w:val="24"/>
          <w:szCs w:val="24"/>
          <w:highlight w:val="green"/>
        </w:rPr>
        <w:t>1、供方所供的货物必须为全新的，符合国家相关室内用品标准的合格产品；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bCs/>
          <w:color w:val="000000"/>
          <w:sz w:val="24"/>
          <w:szCs w:val="24"/>
          <w:highlight w:val="green"/>
        </w:rPr>
      </w:pPr>
      <w:r>
        <w:rPr>
          <w:rFonts w:hint="eastAsia" w:ascii="宋体" w:hAnsi="宋体"/>
          <w:bCs/>
          <w:color w:val="000000"/>
          <w:sz w:val="24"/>
          <w:szCs w:val="24"/>
          <w:highlight w:val="green"/>
        </w:rPr>
        <w:t>2、所供货物不会侵犯任何第三方知识产权；</w:t>
      </w:r>
      <w:r>
        <w:rPr>
          <w:rFonts w:hint="eastAsia" w:ascii="宋体" w:hAnsi="宋体"/>
          <w:sz w:val="24"/>
          <w:szCs w:val="24"/>
          <w:highlight w:val="green"/>
        </w:rPr>
        <w:t>凡需国家强制保证或认可的产品、需提供相应的证书和认可的标志。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sz w:val="24"/>
          <w:szCs w:val="24"/>
          <w:highlight w:val="green"/>
        </w:rPr>
      </w:pPr>
      <w:r>
        <w:rPr>
          <w:rFonts w:hint="eastAsia" w:ascii="宋体" w:hAnsi="宋体"/>
          <w:bCs/>
          <w:color w:val="000000"/>
          <w:sz w:val="24"/>
          <w:szCs w:val="24"/>
          <w:highlight w:val="green"/>
        </w:rPr>
        <w:t>3、</w:t>
      </w:r>
      <w:r>
        <w:rPr>
          <w:rFonts w:ascii="宋体" w:hAnsi="宋体"/>
          <w:sz w:val="24"/>
          <w:szCs w:val="24"/>
          <w:highlight w:val="green"/>
        </w:rPr>
        <w:t>中标单位不得以任何形式将本项目转包或分包给其他单位，否则招标单位有权终止合同，所发生的一切损失均由中标单位承担。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sz w:val="24"/>
          <w:szCs w:val="24"/>
          <w:highlight w:val="green"/>
        </w:rPr>
      </w:pPr>
      <w:r>
        <w:rPr>
          <w:rFonts w:hint="eastAsia" w:ascii="宋体" w:hAnsi="宋体"/>
          <w:sz w:val="24"/>
          <w:szCs w:val="24"/>
          <w:highlight w:val="green"/>
        </w:rPr>
        <w:t>4、</w:t>
      </w:r>
      <w:r>
        <w:rPr>
          <w:rFonts w:ascii="宋体" w:hAnsi="宋体"/>
          <w:sz w:val="24"/>
          <w:szCs w:val="24"/>
          <w:highlight w:val="green"/>
        </w:rPr>
        <w:t>投标人使用材料必须具有质量保证书，或符合规定做的试验资料报告。严禁使用质量不合格或不符合设计要求的材料，否则厂家必须承担由此产生的一切责任。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bCs/>
          <w:color w:val="000000"/>
          <w:sz w:val="24"/>
          <w:szCs w:val="24"/>
          <w:highlight w:val="green"/>
        </w:rPr>
      </w:pPr>
      <w:r>
        <w:rPr>
          <w:rFonts w:hint="eastAsia" w:ascii="宋体" w:hAnsi="宋体"/>
          <w:sz w:val="24"/>
          <w:szCs w:val="24"/>
          <w:highlight w:val="green"/>
        </w:rPr>
        <w:t>5、</w:t>
      </w:r>
      <w:r>
        <w:rPr>
          <w:rFonts w:hint="eastAsia" w:ascii="宋体" w:hAnsi="宋体"/>
          <w:bCs/>
          <w:color w:val="000000"/>
          <w:sz w:val="24"/>
          <w:szCs w:val="24"/>
          <w:highlight w:val="green"/>
        </w:rPr>
        <w:t>送货地址：余杭区内甲方指定地点。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eastAsia="宋体"/>
          <w:lang w:val="en-US" w:eastAsia="zh-CN"/>
        </w:rPr>
      </w:pPr>
      <w:r>
        <w:rPr>
          <w:rFonts w:hint="eastAsia" w:ascii="宋体" w:hAnsi="宋体"/>
          <w:bCs/>
          <w:color w:val="000000"/>
          <w:sz w:val="24"/>
          <w:szCs w:val="24"/>
          <w:highlight w:val="green"/>
          <w:lang w:val="en-US" w:eastAsia="zh-CN"/>
        </w:rPr>
        <w:t>6、工期要求：中标单位在与采购人签订合同后，按与采购人的约定将货品送至指定地点，并在    天内完成安装、调试、验收。</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、售后服务要求：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1、质保期：从验收合格之日起两年；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2、质保期内的维修费用（包括配件）全部由供货方负责；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3、技术支持要求：质保期内出现问题，1 小时内响应，2 小时内到达现场，12 小时内解决问题，对于现场解决不了的故障，中标单位应提供采购人同型号、同规格的备用设备使用，直至故障设备修复；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4、在保修期内供方必须不得以任何理由影响用户的正常使用。投标方必须对所供产品实行终身维修，配件按市场价格收取。</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r>
        <w:rPr>
          <w:rFonts w:hint="eastAsia" w:ascii="宋体" w:hAnsi="宋体" w:eastAsia="宋体" w:cs="宋体"/>
          <w:sz w:val="24"/>
          <w:szCs w:val="24"/>
        </w:rPr>
        <w:t>特别提示：</w:t>
      </w:r>
    </w:p>
    <w:bookmarkEnd w:id="16"/>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如招标文件中遗漏了必须</w:t>
      </w:r>
      <w:r>
        <w:rPr>
          <w:rFonts w:hint="eastAsia" w:ascii="宋体" w:hAnsi="宋体" w:eastAsia="宋体" w:cs="宋体"/>
          <w:bCs/>
          <w:sz w:val="24"/>
          <w:szCs w:val="24"/>
        </w:rPr>
        <w:t>具备的服务及设备</w:t>
      </w:r>
      <w:r>
        <w:rPr>
          <w:rFonts w:hint="eastAsia" w:ascii="宋体" w:hAnsi="宋体" w:eastAsia="宋体" w:cs="宋体"/>
          <w:sz w:val="24"/>
          <w:szCs w:val="24"/>
        </w:rPr>
        <w:t>，请投标人在投标文件中指出，并提出解决方案供采购人、采购单位参考。</w:t>
      </w:r>
      <w:bookmarkStart w:id="17" w:name="_Hlt208143071"/>
      <w:bookmarkEnd w:id="17"/>
      <w:bookmarkStart w:id="18" w:name="_Hlt206302330"/>
      <w:bookmarkEnd w:id="18"/>
    </w:p>
    <w:p>
      <w:pPr>
        <w:pStyle w:val="9"/>
        <w:rPr>
          <w:rFonts w:hint="default" w:eastAsia="宋体"/>
          <w:lang w:val="en-US" w:eastAsia="zh-CN"/>
        </w:rPr>
      </w:pPr>
      <w:r>
        <w:rPr>
          <w:rFonts w:hint="eastAsia" w:ascii="宋体" w:hAnsi="宋体" w:eastAsia="宋体" w:cs="宋体"/>
          <w:sz w:val="24"/>
          <w:szCs w:val="24"/>
        </w:rPr>
        <w:t>本项目实施过程中（包括采购过程），招标方可根据需要向投标方提供相关资料，投标方不得将资料的全部或者部分向任何第三方提供，否则，由此造成的一切后果由投标方承担。此条款不论投标方是否中标，均有效。</w:t>
      </w: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jc w:val="both"/>
        <w:rPr>
          <w:rFonts w:hint="eastAsia" w:ascii="宋体" w:hAnsi="宋体" w:cs="宋体"/>
          <w:sz w:val="44"/>
          <w:szCs w:val="44"/>
          <w:lang w:val="en-US" w:eastAsia="zh-CN"/>
        </w:rPr>
      </w:pPr>
    </w:p>
    <w:p>
      <w:pPr>
        <w:pStyle w:val="17"/>
        <w:ind w:firstLine="2650" w:firstLineChars="600"/>
        <w:jc w:val="both"/>
        <w:rPr>
          <w:rFonts w:hint="eastAsia" w:ascii="宋体" w:hAnsi="宋体" w:cs="宋体"/>
          <w:sz w:val="44"/>
          <w:szCs w:val="44"/>
          <w:lang w:val="en-US" w:eastAsia="zh-CN"/>
        </w:rPr>
      </w:pPr>
      <w:r>
        <w:rPr>
          <w:rFonts w:hint="eastAsia" w:ascii="宋体" w:hAnsi="宋体" w:cs="宋体"/>
          <w:sz w:val="44"/>
          <w:szCs w:val="44"/>
          <w:lang w:val="en-US" w:eastAsia="zh-CN"/>
        </w:rPr>
        <w:t xml:space="preserve"> </w:t>
      </w:r>
    </w:p>
    <w:p>
      <w:pPr>
        <w:pStyle w:val="17"/>
        <w:ind w:firstLine="2650" w:firstLineChars="600"/>
        <w:jc w:val="both"/>
        <w:rPr>
          <w:rFonts w:ascii="宋体" w:hAnsi="宋体" w:cs="宋体"/>
          <w:sz w:val="44"/>
          <w:szCs w:val="44"/>
        </w:rPr>
      </w:pPr>
      <w:r>
        <w:rPr>
          <w:rFonts w:hint="eastAsia" w:ascii="宋体" w:hAnsi="宋体" w:cs="宋体"/>
          <w:sz w:val="44"/>
          <w:szCs w:val="44"/>
        </w:rPr>
        <w:t>第四部分 合同样本</w:t>
      </w:r>
      <w:bookmarkEnd w:id="14"/>
      <w:bookmarkEnd w:id="15"/>
    </w:p>
    <w:p>
      <w:pPr>
        <w:jc w:val="center"/>
        <w:rPr>
          <w:rFonts w:hint="eastAsia" w:ascii="宋体" w:hAnsi="宋体" w:cs="宋体"/>
          <w:b/>
          <w:bCs/>
          <w:sz w:val="24"/>
        </w:rPr>
      </w:pPr>
    </w:p>
    <w:p>
      <w:pPr>
        <w:spacing w:line="360" w:lineRule="auto"/>
        <w:ind w:firstLine="2715" w:firstLineChars="845"/>
        <w:rPr>
          <w:b/>
          <w:sz w:val="32"/>
          <w:szCs w:val="32"/>
        </w:rPr>
      </w:pPr>
      <w:r>
        <w:rPr>
          <w:b/>
          <w:sz w:val="32"/>
          <w:szCs w:val="32"/>
        </w:rPr>
        <w:t>（以最终合同为准）</w:t>
      </w:r>
    </w:p>
    <w:p>
      <w:pPr>
        <w:spacing w:line="360" w:lineRule="auto"/>
        <w:rPr>
          <w:rFonts w:hint="eastAsia" w:ascii="宋体" w:hAnsi="宋体"/>
          <w:sz w:val="24"/>
          <w:lang w:val="en-US" w:eastAsia="zh-CN"/>
        </w:rPr>
      </w:pPr>
      <w:r>
        <w:rPr>
          <w:rFonts w:hint="eastAsia" w:ascii="宋体" w:hAnsi="宋体" w:cs="宋体"/>
          <w:sz w:val="24"/>
          <w:szCs w:val="24"/>
        </w:rPr>
        <w:t>甲方：</w:t>
      </w:r>
      <w:r>
        <w:rPr>
          <w:rFonts w:hint="eastAsia" w:ascii="宋体" w:hAnsi="宋体"/>
          <w:sz w:val="24"/>
          <w:lang w:val="en-US" w:eastAsia="zh-CN"/>
        </w:rPr>
        <w:t xml:space="preserve">    </w:t>
      </w:r>
    </w:p>
    <w:p>
      <w:pPr>
        <w:spacing w:line="360" w:lineRule="auto"/>
        <w:rPr>
          <w:rFonts w:hint="eastAsia" w:ascii="宋体" w:hAnsi="宋体" w:cs="宋体"/>
          <w:sz w:val="24"/>
          <w:szCs w:val="24"/>
          <w:u w:val="single"/>
        </w:rPr>
      </w:pPr>
      <w:r>
        <w:rPr>
          <w:rFonts w:hint="eastAsia" w:ascii="宋体" w:hAnsi="宋体" w:cs="宋体"/>
          <w:sz w:val="24"/>
          <w:szCs w:val="24"/>
        </w:rPr>
        <w:t>乙方：</w:t>
      </w:r>
      <w:r>
        <w:rPr>
          <w:rFonts w:hint="eastAsia"/>
          <w:sz w:val="24"/>
        </w:rPr>
        <w:t xml:space="preserve"> </w:t>
      </w:r>
      <w:r>
        <w:rPr>
          <w:rFonts w:hint="eastAsia"/>
          <w:sz w:val="24"/>
          <w:u w:val="single"/>
        </w:rPr>
        <w:t xml:space="preserve">                    </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1、双方本着通力合作的精神，根据中华人民共和国《合同法》，由</w:t>
      </w:r>
      <w:r>
        <w:rPr>
          <w:rFonts w:hint="eastAsia" w:ascii="宋体" w:hAnsi="宋体" w:cs="宋体"/>
          <w:color w:val="000000"/>
          <w:kern w:val="0"/>
          <w:sz w:val="24"/>
          <w:lang w:val="en-US" w:eastAsia="zh-CN"/>
        </w:rPr>
        <w:t xml:space="preserve"> </w:t>
      </w:r>
      <w:r>
        <w:rPr>
          <w:rFonts w:hint="eastAsia" w:ascii="宋体" w:hAnsi="宋体" w:cs="宋体"/>
          <w:i/>
          <w:iCs/>
          <w:color w:val="000000"/>
          <w:kern w:val="0"/>
          <w:sz w:val="24"/>
          <w:u w:val="single"/>
          <w:lang w:val="en-US" w:eastAsia="zh-CN"/>
        </w:rPr>
        <w:t xml:space="preserve">   </w:t>
      </w:r>
      <w:r>
        <w:rPr>
          <w:rFonts w:hint="eastAsia" w:ascii="宋体" w:hAnsi="宋体" w:cs="宋体"/>
          <w:color w:val="000000"/>
          <w:kern w:val="0"/>
          <w:sz w:val="24"/>
          <w:lang w:val="zh-CN"/>
        </w:rPr>
        <w:t>（以下简称甲方）与经评审最终确定的成交人（以下简称乙方）结合本项目具体情况协商后签订。</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 xml:space="preserve">2、项目名称： </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3、合同文件组成及解释顺序：(1)本项目承包合同；(2)成交通知书；(3)补充文件、采购文件</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乙方向甲方提供</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，实际规格以刊登为准，双方允许实际刊发存有误差。</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服务期：</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val="zh-CN"/>
        </w:rPr>
        <w:t>年。乙方考核达到甲方要求的，若标的内容没有变化的，可优先考虑续约，最多续约一年。</w:t>
      </w:r>
    </w:p>
    <w:p>
      <w:pPr>
        <w:widowControl/>
        <w:spacing w:line="420" w:lineRule="exact"/>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 xml:space="preserve"> 4、乙方向甲方收取费用共计人民币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元整。</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 xml:space="preserve">具体费用包括：                   </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5、付款方式：</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6、乙方责任：</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（1）乙方确保活动按照双方协定的活动计划进行实施，活动过程中双方应随时沟通，协商解决问题，确保活动完成预期目标。</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（2）根据甲方所要求的内容，刊发官方微信的宣传。</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（3）因乙方计划安排不够周密，组织失误造成计划不能正常实施，责任由乙方承担。</w:t>
      </w:r>
    </w:p>
    <w:p>
      <w:pPr>
        <w:widowControl/>
        <w:spacing w:line="42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7、甲方责任：</w:t>
      </w:r>
    </w:p>
    <w:p>
      <w:pPr>
        <w:widowControl/>
        <w:spacing w:line="420" w:lineRule="exact"/>
        <w:ind w:firstLine="360" w:firstLineChars="150"/>
        <w:rPr>
          <w:rFonts w:hint="eastAsia" w:ascii="宋体" w:hAnsi="宋体" w:cs="宋体"/>
          <w:kern w:val="0"/>
          <w:sz w:val="24"/>
          <w:lang w:val="zh-CN"/>
        </w:rPr>
      </w:pPr>
      <w:r>
        <w:rPr>
          <w:rFonts w:hint="eastAsia" w:ascii="宋体" w:hAnsi="宋体" w:cs="宋体"/>
          <w:kern w:val="0"/>
          <w:sz w:val="24"/>
          <w:lang w:val="zh-CN"/>
        </w:rPr>
        <w:t>甲方应按合同约定及时支付相应款项，甲方逾期支付的，每逾期一日，应按合同规定应付金额的千分之二支付违约金。</w:t>
      </w:r>
    </w:p>
    <w:p>
      <w:pPr>
        <w:widowControl/>
        <w:spacing w:line="420" w:lineRule="exact"/>
        <w:ind w:firstLine="360" w:firstLineChars="150"/>
        <w:rPr>
          <w:rFonts w:hint="eastAsia" w:ascii="宋体" w:hAnsi="宋体" w:cs="宋体"/>
          <w:color w:val="000000"/>
          <w:kern w:val="0"/>
          <w:sz w:val="24"/>
          <w:lang w:val="zh-CN"/>
        </w:rPr>
      </w:pPr>
      <w:r>
        <w:rPr>
          <w:rFonts w:hint="eastAsia" w:ascii="宋体" w:hAnsi="宋体" w:cs="宋体"/>
          <w:kern w:val="0"/>
          <w:sz w:val="24"/>
          <w:lang w:val="zh-CN"/>
        </w:rPr>
        <w:t>8、</w:t>
      </w:r>
      <w:r>
        <w:rPr>
          <w:rFonts w:hint="eastAsia" w:ascii="宋体" w:hAnsi="宋体" w:cs="宋体"/>
          <w:color w:val="000000"/>
          <w:kern w:val="0"/>
          <w:sz w:val="24"/>
          <w:lang w:val="zh-CN"/>
        </w:rPr>
        <w:t>本协议一式肆份，甲乙双方各执贰份，签字和盖章后生效。</w:t>
      </w:r>
    </w:p>
    <w:p>
      <w:pPr>
        <w:widowControl/>
        <w:spacing w:line="420" w:lineRule="exact"/>
        <w:ind w:firstLine="360" w:firstLineChars="150"/>
        <w:rPr>
          <w:rFonts w:hint="eastAsia" w:ascii="宋体" w:hAnsi="宋体" w:cs="宋体"/>
          <w:kern w:val="0"/>
          <w:sz w:val="24"/>
          <w:lang w:val="zh-CN"/>
        </w:rPr>
      </w:pPr>
      <w:r>
        <w:rPr>
          <w:rFonts w:hint="eastAsia" w:ascii="宋体" w:hAnsi="宋体" w:cs="宋体"/>
          <w:kern w:val="0"/>
          <w:sz w:val="24"/>
          <w:lang w:val="zh-CN"/>
        </w:rPr>
        <w:t>9、未尽事宜，双方协商。协商不成的，双方均可以向乙方所在地法院提起诉讼。</w:t>
      </w:r>
    </w:p>
    <w:p>
      <w:pPr>
        <w:widowControl/>
        <w:spacing w:line="420" w:lineRule="exact"/>
        <w:ind w:firstLine="360" w:firstLineChars="150"/>
        <w:rPr>
          <w:rFonts w:hint="eastAsia" w:ascii="宋体" w:hAnsi="宋体" w:cs="宋体"/>
          <w:kern w:val="0"/>
          <w:sz w:val="24"/>
          <w:lang w:val="zh-CN"/>
        </w:rPr>
      </w:pPr>
    </w:p>
    <w:p>
      <w:pPr>
        <w:widowControl/>
        <w:spacing w:line="420" w:lineRule="exact"/>
        <w:ind w:firstLine="360" w:firstLineChars="150"/>
        <w:rPr>
          <w:rFonts w:hint="eastAsia" w:ascii="宋体" w:hAnsi="宋体" w:cs="宋体"/>
          <w:kern w:val="0"/>
          <w:sz w:val="24"/>
          <w:lang w:val="zh-CN"/>
        </w:rPr>
      </w:pPr>
    </w:p>
    <w:p>
      <w:pPr>
        <w:widowControl/>
        <w:spacing w:line="420" w:lineRule="exact"/>
        <w:ind w:firstLine="360" w:firstLineChars="150"/>
        <w:rPr>
          <w:rFonts w:hint="eastAsia" w:ascii="宋体" w:hAnsi="宋体" w:cs="宋体"/>
          <w:kern w:val="0"/>
          <w:sz w:val="24"/>
          <w:lang w:val="zh-CN"/>
        </w:rPr>
      </w:pPr>
    </w:p>
    <w:p>
      <w:pPr>
        <w:widowControl/>
        <w:spacing w:line="420" w:lineRule="exact"/>
        <w:ind w:firstLine="360" w:firstLineChars="150"/>
        <w:rPr>
          <w:rFonts w:hint="eastAsia" w:ascii="宋体" w:hAnsi="宋体" w:cs="宋体"/>
          <w:kern w:val="0"/>
          <w:sz w:val="24"/>
          <w:lang w:val="zh-CN"/>
        </w:rPr>
      </w:pPr>
    </w:p>
    <w:p>
      <w:pPr>
        <w:spacing w:line="440" w:lineRule="exact"/>
        <w:rPr>
          <w:rFonts w:hint="eastAsia" w:ascii="宋体" w:hAnsi="宋体" w:cs="宋体"/>
          <w:sz w:val="24"/>
        </w:rPr>
      </w:pPr>
      <w:r>
        <w:rPr>
          <w:rFonts w:hint="eastAsia" w:ascii="宋体" w:hAnsi="宋体" w:cs="宋体"/>
          <w:sz w:val="24"/>
        </w:rPr>
        <w:t xml:space="preserve">甲方（盖章）：                           乙方（盖章）：        </w:t>
      </w:r>
    </w:p>
    <w:p>
      <w:pPr>
        <w:spacing w:line="440" w:lineRule="exact"/>
        <w:rPr>
          <w:rFonts w:hint="eastAsia" w:ascii="宋体" w:hAnsi="宋体" w:cs="宋体"/>
          <w:sz w:val="24"/>
        </w:rPr>
      </w:pPr>
      <w:r>
        <w:rPr>
          <w:rFonts w:hint="eastAsia" w:ascii="宋体" w:hAnsi="宋体" w:cs="宋体"/>
          <w:sz w:val="24"/>
        </w:rPr>
        <w:t xml:space="preserve">法定代表人：                            法定代表人：                   </w:t>
      </w:r>
    </w:p>
    <w:p>
      <w:pPr>
        <w:spacing w:line="440" w:lineRule="exact"/>
        <w:rPr>
          <w:rFonts w:hint="eastAsia" w:ascii="宋体" w:hAnsi="宋体" w:cs="宋体"/>
          <w:sz w:val="24"/>
        </w:rPr>
      </w:pPr>
      <w:r>
        <w:rPr>
          <w:rFonts w:hint="eastAsia" w:ascii="宋体" w:hAnsi="宋体" w:cs="宋体"/>
          <w:sz w:val="24"/>
        </w:rPr>
        <w:t xml:space="preserve">或受委托人（签字）：                     或受委托人（签字）：                  </w:t>
      </w:r>
    </w:p>
    <w:p>
      <w:pPr>
        <w:spacing w:line="440" w:lineRule="exact"/>
        <w:rPr>
          <w:rFonts w:hint="eastAsia" w:ascii="宋体" w:hAnsi="宋体" w:cs="宋体"/>
          <w:sz w:val="24"/>
        </w:rPr>
      </w:pPr>
      <w:r>
        <w:rPr>
          <w:rFonts w:hint="eastAsia" w:ascii="宋体" w:hAnsi="宋体" w:cs="宋体"/>
          <w:sz w:val="24"/>
        </w:rPr>
        <w:t>联系人：                                联系人：</w:t>
      </w:r>
    </w:p>
    <w:p>
      <w:pPr>
        <w:spacing w:line="440" w:lineRule="exact"/>
        <w:rPr>
          <w:rFonts w:hint="eastAsia" w:ascii="宋体" w:hAnsi="宋体" w:cs="宋体"/>
          <w:sz w:val="24"/>
        </w:rPr>
      </w:pPr>
      <w:r>
        <w:rPr>
          <w:rFonts w:hint="eastAsia" w:ascii="宋体" w:hAnsi="宋体" w:cs="宋体"/>
          <w:sz w:val="24"/>
        </w:rPr>
        <w:t xml:space="preserve">地址：                                  地址： </w:t>
      </w:r>
    </w:p>
    <w:p>
      <w:pPr>
        <w:spacing w:line="440" w:lineRule="exact"/>
        <w:rPr>
          <w:rFonts w:hint="eastAsia" w:ascii="宋体" w:hAnsi="宋体" w:cs="宋体"/>
          <w:sz w:val="24"/>
        </w:rPr>
      </w:pPr>
      <w:r>
        <w:rPr>
          <w:rFonts w:hint="eastAsia" w:ascii="宋体" w:hAnsi="宋体" w:cs="宋体"/>
          <w:sz w:val="24"/>
        </w:rPr>
        <w:t>电话：                                  电话：</w:t>
      </w:r>
    </w:p>
    <w:p>
      <w:pPr>
        <w:spacing w:line="440" w:lineRule="exact"/>
        <w:rPr>
          <w:rFonts w:hint="eastAsia" w:ascii="宋体" w:hAnsi="宋体" w:cs="宋体"/>
          <w:sz w:val="24"/>
        </w:rPr>
      </w:pPr>
      <w:r>
        <w:rPr>
          <w:rFonts w:hint="eastAsia" w:ascii="宋体" w:hAnsi="宋体" w:cs="宋体"/>
          <w:sz w:val="24"/>
        </w:rPr>
        <w:t>传真：                                  传真：</w:t>
      </w:r>
    </w:p>
    <w:p>
      <w:pPr>
        <w:spacing w:line="440" w:lineRule="exact"/>
        <w:rPr>
          <w:rFonts w:hint="eastAsia" w:ascii="宋体" w:hAnsi="宋体" w:cs="宋体"/>
          <w:sz w:val="24"/>
        </w:rPr>
      </w:pPr>
      <w:r>
        <w:rPr>
          <w:rFonts w:hint="eastAsia" w:ascii="宋体" w:hAnsi="宋体" w:cs="宋体"/>
          <w:sz w:val="24"/>
        </w:rPr>
        <w:t>开户银行：                              开户银行：</w:t>
      </w:r>
    </w:p>
    <w:p>
      <w:pPr>
        <w:spacing w:line="440" w:lineRule="exact"/>
        <w:rPr>
          <w:rFonts w:hint="eastAsia" w:ascii="宋体" w:hAnsi="宋体" w:cs="宋体"/>
          <w:sz w:val="24"/>
        </w:rPr>
      </w:pPr>
      <w:r>
        <w:rPr>
          <w:rFonts w:hint="eastAsia" w:ascii="宋体" w:hAnsi="宋体" w:cs="宋体"/>
          <w:sz w:val="24"/>
        </w:rPr>
        <w:t>帐号：                                  帐号：</w:t>
      </w:r>
    </w:p>
    <w:p>
      <w:pPr>
        <w:spacing w:line="440" w:lineRule="exact"/>
        <w:rPr>
          <w:rFonts w:hint="eastAsia" w:ascii="宋体" w:hAnsi="宋体" w:cs="宋体"/>
          <w:sz w:val="24"/>
        </w:rPr>
      </w:pPr>
    </w:p>
    <w:p>
      <w:pPr>
        <w:wordWrap w:val="0"/>
        <w:spacing w:line="520" w:lineRule="atLeast"/>
        <w:jc w:val="right"/>
        <w:rPr>
          <w:rFonts w:hint="eastAsia" w:ascii="宋体" w:hAnsi="宋体" w:cs="宋体"/>
          <w:sz w:val="24"/>
        </w:rPr>
      </w:pPr>
      <w:r>
        <w:rPr>
          <w:rFonts w:hint="eastAsia" w:ascii="宋体" w:hAnsi="宋体" w:cs="宋体"/>
          <w:sz w:val="24"/>
        </w:rPr>
        <w:t xml:space="preserve">       </w:t>
      </w:r>
    </w:p>
    <w:p>
      <w:pPr>
        <w:pStyle w:val="29"/>
        <w:spacing w:beforeLines="0" w:afterLines="0" w:line="520" w:lineRule="atLeast"/>
        <w:ind w:firstLine="482"/>
        <w:outlineLvl w:val="9"/>
        <w:rPr>
          <w:rFonts w:hint="eastAsia" w:ascii="宋体" w:hAnsi="宋体" w:eastAsia="宋体" w:cs="宋体"/>
          <w:sz w:val="24"/>
          <w:szCs w:val="24"/>
        </w:rPr>
      </w:pPr>
      <w:bookmarkStart w:id="19" w:name="_Toc328381300"/>
      <w:bookmarkStart w:id="20" w:name="_Toc339872468"/>
      <w:bookmarkStart w:id="21" w:name="_Toc349721554"/>
      <w:bookmarkStart w:id="22" w:name="_Toc326765771"/>
      <w:bookmarkStart w:id="23" w:name="_Toc350327365"/>
      <w:r>
        <w:rPr>
          <w:rFonts w:hint="eastAsia" w:ascii="宋体" w:hAnsi="宋体" w:eastAsia="宋体" w:cs="宋体"/>
          <w:sz w:val="24"/>
          <w:szCs w:val="24"/>
        </w:rPr>
        <w:t>★ 此仅为合同书样本，中标单位需根据实际情况和采购人签订相应的合同！</w:t>
      </w:r>
      <w:bookmarkEnd w:id="19"/>
      <w:bookmarkEnd w:id="20"/>
      <w:bookmarkEnd w:id="21"/>
      <w:bookmarkEnd w:id="22"/>
      <w:bookmarkEnd w:id="23"/>
    </w:p>
    <w:p>
      <w:pPr>
        <w:pStyle w:val="17"/>
        <w:jc w:val="center"/>
        <w:rPr>
          <w:rFonts w:ascii="宋体" w:hAnsi="宋体" w:cs="宋体"/>
          <w:sz w:val="44"/>
          <w:szCs w:val="44"/>
        </w:rPr>
      </w:pPr>
      <w:bookmarkStart w:id="24" w:name="_Toc482110468"/>
      <w:r>
        <w:rPr>
          <w:rFonts w:hint="eastAsia" w:ascii="宋体" w:hAnsi="宋体" w:cs="宋体"/>
          <w:sz w:val="44"/>
          <w:szCs w:val="44"/>
        </w:rPr>
        <w:br w:type="page"/>
      </w:r>
      <w:bookmarkStart w:id="25" w:name="_Toc7847"/>
      <w:r>
        <w:rPr>
          <w:rFonts w:hint="eastAsia" w:ascii="宋体" w:hAnsi="宋体" w:cs="宋体"/>
          <w:sz w:val="44"/>
          <w:szCs w:val="44"/>
        </w:rPr>
        <w:t>第五部分 投标文件格式</w:t>
      </w:r>
      <w:bookmarkEnd w:id="24"/>
      <w:bookmarkEnd w:id="25"/>
    </w:p>
    <w:p>
      <w:pPr>
        <w:rPr>
          <w:rFonts w:ascii="宋体" w:hAnsi="宋体" w:cs="宋体"/>
          <w:szCs w:val="21"/>
        </w:rPr>
      </w:pPr>
    </w:p>
    <w:p>
      <w:pPr>
        <w:rPr>
          <w:rFonts w:ascii="宋体" w:hAnsi="宋体" w:cs="宋体"/>
          <w:szCs w:val="21"/>
        </w:rPr>
      </w:pPr>
    </w:p>
    <w:p>
      <w:pPr>
        <w:snapToGrid w:val="0"/>
        <w:spacing w:line="360" w:lineRule="auto"/>
        <w:jc w:val="center"/>
        <w:rPr>
          <w:rFonts w:hint="eastAsia" w:ascii="宋体" w:hAnsi="宋体" w:cs="宋体"/>
          <w:b/>
          <w:bCs/>
          <w:color w:val="000000"/>
          <w:sz w:val="32"/>
          <w:szCs w:val="32"/>
        </w:rPr>
      </w:pPr>
      <w:r>
        <w:rPr>
          <w:rFonts w:hint="eastAsia" w:ascii="宋体" w:hAnsi="宋体" w:cs="宋体"/>
          <w:b/>
          <w:bCs/>
          <w:color w:val="000000"/>
          <w:sz w:val="32"/>
          <w:szCs w:val="32"/>
        </w:rPr>
        <w:t>第五部分  应提交的有关格式范例</w:t>
      </w:r>
    </w:p>
    <w:p>
      <w:pPr>
        <w:snapToGrid w:val="0"/>
        <w:spacing w:line="360" w:lineRule="auto"/>
        <w:rPr>
          <w:rFonts w:hint="eastAsia" w:ascii="宋体" w:hAnsi="宋体" w:cs="宋体"/>
          <w:b/>
          <w:color w:val="000000"/>
          <w:sz w:val="24"/>
        </w:rPr>
      </w:pP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ageBreakBefore/>
        <w:shd w:val="clear" w:color="auto" w:fill="FFFFFF"/>
        <w:snapToGrid w:val="0"/>
        <w:spacing w:line="360" w:lineRule="auto"/>
        <w:jc w:val="center"/>
        <w:outlineLvl w:val="1"/>
        <w:rPr>
          <w:rFonts w:hint="eastAsia" w:ascii="宋体" w:hAnsi="宋体" w:cs="宋体"/>
          <w:b/>
          <w:bCs/>
          <w:color w:val="000000"/>
          <w:kern w:val="0"/>
          <w:sz w:val="24"/>
        </w:rPr>
      </w:pPr>
      <w:bookmarkStart w:id="26" w:name="_Toc33194407"/>
      <w:bookmarkStart w:id="27" w:name="_Toc354996707"/>
      <w:bookmarkStart w:id="28" w:name="_Toc233618989"/>
      <w:r>
        <w:rPr>
          <w:rFonts w:hint="eastAsia" w:ascii="宋体" w:hAnsi="宋体" w:cs="宋体"/>
          <w:b/>
          <w:bCs/>
          <w:color w:val="000000"/>
          <w:kern w:val="0"/>
          <w:sz w:val="24"/>
        </w:rPr>
        <w:t>报价文件</w:t>
      </w:r>
      <w:bookmarkEnd w:id="26"/>
      <w:bookmarkEnd w:id="27"/>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 </w:t>
      </w:r>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highlight w:val="none"/>
        </w:rPr>
      </w:pPr>
      <w:r>
        <w:rPr>
          <w:rFonts w:hint="eastAsia" w:ascii="宋体" w:hAnsi="宋体" w:cs="宋体"/>
          <w:color w:val="000000"/>
          <w:kern w:val="0"/>
          <w:sz w:val="24"/>
          <w:highlight w:val="none"/>
        </w:rPr>
        <w:t>（3）报价明细清单………………………………………………………………（页码）</w:t>
      </w:r>
    </w:p>
    <w:p>
      <w:pPr>
        <w:pStyle w:val="2"/>
        <w:rPr>
          <w:rFonts w:hint="eastAsia" w:eastAsia="仿宋_GB2312"/>
          <w:lang w:eastAsia="zh-CN"/>
        </w:rPr>
      </w:pPr>
      <w:r>
        <w:rPr>
          <w:rFonts w:hint="eastAsia" w:ascii="宋体" w:hAnsi="宋体" w:cs="宋体"/>
          <w:color w:val="000000"/>
          <w:kern w:val="0"/>
          <w:sz w:val="24"/>
          <w:highlight w:val="none"/>
        </w:rPr>
        <w:t>（4）中小企业声明函、监狱企业、残疾人福利性单位及其他相关的充分的证明材料……………………………………………………………………………………（页码）</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29" w:name="_Toc233618990"/>
      <w:r>
        <w:rPr>
          <w:rFonts w:hint="eastAsia" w:ascii="宋体" w:hAnsi="宋体" w:cs="宋体"/>
          <w:b/>
          <w:bCs/>
          <w:color w:val="000000"/>
          <w:sz w:val="24"/>
        </w:rPr>
        <w:t>一、投标响应函</w:t>
      </w:r>
      <w:bookmarkEnd w:id="29"/>
    </w:p>
    <w:p>
      <w:pPr>
        <w:shd w:val="clear" w:color="auto" w:fill="FFFFFF"/>
        <w:snapToGrid w:val="0"/>
        <w:spacing w:line="360" w:lineRule="auto"/>
        <w:rPr>
          <w:rFonts w:hint="eastAsia" w:ascii="宋体" w:hAnsi="宋体" w:eastAsia="宋体" w:cs="宋体"/>
          <w:color w:val="000000"/>
          <w:sz w:val="24"/>
          <w:lang w:eastAsia="zh-CN"/>
        </w:rPr>
      </w:pPr>
      <w:r>
        <w:rPr>
          <w:rFonts w:hint="eastAsia" w:ascii="宋体" w:hAnsi="宋体" w:cs="宋体"/>
          <w:color w:val="0000FF"/>
          <w:sz w:val="24"/>
          <w:lang w:eastAsia="zh-CN"/>
        </w:rPr>
        <w:t>杭州市余杭区瓶窑镇华兴社区居委会：</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浙江中际工程项目管理有限公司</w:t>
      </w:r>
      <w:r>
        <w:rPr>
          <w:rFonts w:hint="eastAsia" w:ascii="宋体" w:hAnsi="宋体" w:cs="宋体"/>
          <w:color w:val="000000"/>
          <w:sz w:val="24"/>
        </w:rPr>
        <w:t>：</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olor w:val="000000"/>
          <w:sz w:val="24"/>
          <w:u w:val="single"/>
          <w:lang w:eastAsia="zh-CN"/>
        </w:rPr>
        <w:t>瓶窑华兴社区垃圾集置点（收集点）采购</w:t>
      </w:r>
      <w:r>
        <w:rPr>
          <w:rFonts w:hint="eastAsia" w:ascii="宋体" w:hAnsi="宋体" w:cs="宋体"/>
          <w:color w:val="000000"/>
          <w:sz w:val="24"/>
        </w:rPr>
        <w:t>(招标编号：</w:t>
      </w:r>
      <w:r>
        <w:rPr>
          <w:rFonts w:hint="eastAsia" w:ascii="宋体" w:hAnsi="宋体" w:cs="宋体"/>
          <w:color w:val="000000"/>
          <w:sz w:val="24"/>
          <w:lang w:eastAsia="zh-CN"/>
        </w:rPr>
        <w:t>ZJDL-2021-其他001</w:t>
      </w:r>
      <w:r>
        <w:rPr>
          <w:rFonts w:hint="eastAsia" w:ascii="宋体" w:hAnsi="宋体" w:cs="宋体"/>
          <w:color w:val="000000"/>
          <w:sz w:val="24"/>
        </w:rPr>
        <w:t>，</w:t>
      </w:r>
      <w:r>
        <w:rPr>
          <w:rFonts w:hint="eastAsia" w:ascii="宋体" w:hAnsi="宋体" w:cs="宋体"/>
          <w:color w:val="000000"/>
          <w:sz w:val="24"/>
          <w:lang w:eastAsia="zh-CN"/>
        </w:rPr>
        <w:t>标段</w:t>
      </w:r>
      <w:r>
        <w:rPr>
          <w:rFonts w:hint="eastAsia" w:ascii="宋体" w:hAnsi="宋体" w:cs="宋体"/>
          <w:color w:val="000000"/>
          <w:sz w:val="24"/>
          <w:u w:val="single"/>
        </w:rPr>
        <w:t xml:space="preserve">     </w:t>
      </w:r>
      <w:r>
        <w:rPr>
          <w:rFonts w:hint="eastAsia" w:ascii="宋体" w:hAnsi="宋体" w:cs="宋体"/>
          <w:color w:val="000000"/>
          <w:kern w:val="0"/>
          <w:sz w:val="24"/>
          <w:lang w:val="zh-CN"/>
        </w:rPr>
        <w:t>)</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w:t>
      </w:r>
      <w:r>
        <w:rPr>
          <w:rFonts w:hint="eastAsia" w:ascii="宋体" w:hAnsi="宋体" w:cs="宋体"/>
          <w:color w:val="000000"/>
          <w:sz w:val="24"/>
        </w:rPr>
        <w:t>)报价文件；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2</w:t>
      </w:r>
      <w:r>
        <w:rPr>
          <w:rFonts w:hint="eastAsia" w:ascii="宋体" w:hAnsi="宋体" w:cs="宋体"/>
          <w:color w:val="000000"/>
          <w:sz w:val="24"/>
        </w:rPr>
        <w:t>)</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3</w:t>
      </w:r>
      <w:r>
        <w:rPr>
          <w:rFonts w:hint="eastAsia" w:ascii="宋体" w:hAnsi="宋体" w:cs="宋体"/>
          <w:color w:val="000000"/>
          <w:sz w:val="24"/>
        </w:rPr>
        <w:t>)</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4</w:t>
      </w:r>
      <w:r>
        <w:rPr>
          <w:rFonts w:hint="eastAsia" w:ascii="宋体" w:hAnsi="宋体" w:cs="宋体"/>
          <w:color w:val="000000"/>
          <w:sz w:val="24"/>
        </w:rPr>
        <w:t>)按招标文件要求提供和交付的货物和服务的投标报价详见开标一览表；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5</w:t>
      </w:r>
      <w:r>
        <w:rPr>
          <w:rFonts w:hint="eastAsia" w:ascii="宋体" w:hAnsi="宋体" w:cs="宋体"/>
          <w:color w:val="000000"/>
          <w:sz w:val="24"/>
        </w:rPr>
        <w:t>)保证忠实地执行双方所签订的合同，并承担合同规定的责任和义务；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6</w:t>
      </w:r>
      <w:r>
        <w:rPr>
          <w:rFonts w:hint="eastAsia" w:ascii="宋体" w:hAnsi="宋体" w:cs="宋体"/>
          <w:color w:val="000000"/>
          <w:sz w:val="24"/>
        </w:rPr>
        <w:t>)保证遵守招标文件中的其他有关规定。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法定代表人或公司负责人（签字）：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30" w:name="_Toc233618991"/>
      <w:bookmarkStart w:id="31" w:name="_Toc354859551"/>
      <w:bookmarkStart w:id="32" w:name="_Toc354859475"/>
      <w:bookmarkStart w:id="33" w:name="_Toc354859632"/>
      <w:r>
        <w:rPr>
          <w:rFonts w:hint="eastAsia" w:ascii="宋体" w:hAnsi="宋体" w:cs="宋体"/>
          <w:b/>
          <w:bCs/>
          <w:color w:val="000000"/>
          <w:sz w:val="24"/>
        </w:rPr>
        <w:t>二、开标一览表</w:t>
      </w:r>
      <w:bookmarkEnd w:id="30"/>
      <w:bookmarkEnd w:id="31"/>
      <w:bookmarkEnd w:id="32"/>
      <w:bookmarkEnd w:id="33"/>
    </w:p>
    <w:p>
      <w:pPr>
        <w:shd w:val="clear" w:color="auto" w:fill="FFFFFF"/>
        <w:snapToGrid w:val="0"/>
        <w:spacing w:line="360" w:lineRule="auto"/>
        <w:rPr>
          <w:rFonts w:hint="eastAsia" w:ascii="宋体" w:hAnsi="宋体" w:eastAsia="宋体" w:cs="宋体"/>
          <w:color w:val="0000FF"/>
          <w:sz w:val="24"/>
          <w:lang w:eastAsia="zh-CN"/>
        </w:rPr>
      </w:pPr>
      <w:r>
        <w:rPr>
          <w:rFonts w:hint="eastAsia" w:ascii="宋体" w:hAnsi="宋体" w:cs="宋体"/>
          <w:color w:val="0000FF"/>
          <w:sz w:val="24"/>
          <w:lang w:eastAsia="zh-CN"/>
        </w:rPr>
        <w:t>杭州市余杭区瓶窑镇华兴社区居委会：</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浙江中际工程项目管理有限公司</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按你方招标文件要求，我们，本投标文件签字方，谨此向你方发出要约如下：如你方接受本投标文件，我方承诺按照如下开标一览表的价格完成编号为</w:t>
      </w:r>
      <w:r>
        <w:rPr>
          <w:rFonts w:hint="eastAsia" w:ascii="宋体" w:hAnsi="宋体" w:cs="宋体"/>
          <w:color w:val="000000"/>
          <w:sz w:val="24"/>
          <w:lang w:eastAsia="zh-CN"/>
        </w:rPr>
        <w:t>ZJDL-2021-其他001</w:t>
      </w:r>
      <w:r>
        <w:rPr>
          <w:rFonts w:hint="eastAsia" w:ascii="宋体" w:hAnsi="宋体" w:cs="宋体"/>
          <w:color w:val="000000"/>
          <w:kern w:val="0"/>
          <w:sz w:val="24"/>
          <w:lang w:val="zh-CN"/>
        </w:rPr>
        <w:t>的招标文件[项目名称：</w:t>
      </w:r>
      <w:r>
        <w:rPr>
          <w:rFonts w:hint="eastAsia" w:ascii="宋体" w:hAnsi="宋体"/>
          <w:color w:val="000000"/>
          <w:sz w:val="24"/>
          <w:lang w:eastAsia="zh-CN"/>
        </w:rPr>
        <w:t>瓶窑华兴社区垃圾集置点（收集点）采购</w:t>
      </w:r>
      <w:r>
        <w:rPr>
          <w:rFonts w:hint="eastAsia" w:ascii="宋体" w:hAnsi="宋体" w:cs="宋体"/>
          <w:color w:val="000000"/>
          <w:kern w:val="0"/>
          <w:sz w:val="24"/>
          <w:lang w:val="zh-CN"/>
        </w:rPr>
        <w:t>]标段</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实施。</w:t>
      </w:r>
    </w:p>
    <w:p>
      <w:pPr>
        <w:shd w:val="clear" w:color="auto" w:fill="FFFFFF"/>
        <w:snapToGrid w:val="0"/>
        <w:spacing w:line="360" w:lineRule="auto"/>
        <w:ind w:firstLine="3990" w:firstLineChars="1656"/>
        <w:rPr>
          <w:rFonts w:hint="eastAsia" w:ascii="宋体" w:hAnsi="宋体" w:cs="宋体"/>
          <w:b/>
          <w:bCs/>
          <w:color w:val="auto"/>
          <w:kern w:val="0"/>
          <w:sz w:val="24"/>
          <w:lang w:val="zh-CN"/>
        </w:rPr>
      </w:pPr>
      <w:r>
        <w:rPr>
          <w:rFonts w:hint="eastAsia" w:ascii="宋体" w:hAnsi="宋体" w:cs="宋体"/>
          <w:b/>
          <w:bCs/>
          <w:color w:val="auto"/>
          <w:kern w:val="0"/>
          <w:sz w:val="24"/>
          <w:lang w:val="zh-CN"/>
        </w:rPr>
        <w:t>开标一览表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059"/>
        <w:gridCol w:w="2927"/>
        <w:gridCol w:w="28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757" w:hRule="atLeast"/>
          <w:tblHeader/>
          <w:jc w:val="center"/>
        </w:trPr>
        <w:tc>
          <w:tcPr>
            <w:tcW w:w="4059" w:type="dxa"/>
            <w:tcBorders>
              <w:right w:val="single" w:color="auto" w:sz="4" w:space="0"/>
            </w:tcBorders>
            <w:noWrap w:val="0"/>
            <w:vAlign w:val="center"/>
          </w:tcPr>
          <w:p>
            <w:pPr>
              <w:spacing w:line="360" w:lineRule="auto"/>
              <w:jc w:val="center"/>
              <w:rPr>
                <w:rFonts w:hint="eastAsia" w:ascii="宋体" w:hAnsi="宋体" w:eastAsia="宋体"/>
                <w:b/>
                <w:bCs/>
                <w:color w:val="auto"/>
                <w:sz w:val="24"/>
                <w:lang w:eastAsia="zh-CN"/>
              </w:rPr>
            </w:pPr>
            <w:r>
              <w:rPr>
                <w:rFonts w:hint="eastAsia" w:ascii="宋体" w:hAnsi="宋体"/>
                <w:b/>
                <w:bCs/>
                <w:color w:val="auto"/>
                <w:sz w:val="24"/>
                <w:lang w:val="en-GB"/>
              </w:rPr>
              <w:t>项目名称</w:t>
            </w:r>
          </w:p>
        </w:tc>
        <w:tc>
          <w:tcPr>
            <w:tcW w:w="2927" w:type="dxa"/>
            <w:tcBorders>
              <w:left w:val="single" w:color="auto" w:sz="4" w:space="0"/>
              <w:right w:val="single" w:color="auto" w:sz="4" w:space="0"/>
            </w:tcBorders>
            <w:noWrap w:val="0"/>
            <w:vAlign w:val="center"/>
          </w:tcPr>
          <w:p>
            <w:pPr>
              <w:spacing w:line="360" w:lineRule="auto"/>
              <w:jc w:val="center"/>
              <w:rPr>
                <w:rFonts w:ascii="宋体" w:hAnsi="宋体"/>
                <w:b/>
                <w:bCs/>
                <w:color w:val="auto"/>
                <w:sz w:val="24"/>
                <w:lang w:val="en-GB"/>
              </w:rPr>
            </w:pPr>
            <w:r>
              <w:rPr>
                <w:rFonts w:hint="eastAsia" w:ascii="宋体" w:hAnsi="宋体"/>
                <w:b/>
                <w:bCs/>
                <w:color w:val="auto"/>
                <w:sz w:val="24"/>
              </w:rPr>
              <w:t>服务期</w:t>
            </w:r>
          </w:p>
        </w:tc>
        <w:tc>
          <w:tcPr>
            <w:tcW w:w="2823" w:type="dxa"/>
            <w:tcBorders>
              <w:left w:val="single" w:color="auto" w:sz="4" w:space="0"/>
              <w:right w:val="single" w:color="auto" w:sz="4" w:space="0"/>
            </w:tcBorders>
            <w:noWrap w:val="0"/>
            <w:vAlign w:val="center"/>
          </w:tcPr>
          <w:p>
            <w:pPr>
              <w:spacing w:line="360" w:lineRule="auto"/>
              <w:jc w:val="center"/>
              <w:rPr>
                <w:rFonts w:hint="eastAsia" w:ascii="宋体" w:hAnsi="宋体" w:eastAsia="宋体"/>
                <w:b/>
                <w:bCs/>
                <w:color w:val="auto"/>
                <w:sz w:val="24"/>
                <w:lang w:val="en-GB" w:eastAsia="zh-CN"/>
              </w:rPr>
            </w:pPr>
            <w:r>
              <w:rPr>
                <w:rFonts w:hint="eastAsia" w:ascii="宋体" w:hAnsi="宋体"/>
                <w:b/>
                <w:bCs/>
                <w:color w:val="auto"/>
                <w:sz w:val="24"/>
                <w:lang w:val="en-GB"/>
              </w:rPr>
              <w:t>投标报价</w:t>
            </w:r>
            <w:r>
              <w:rPr>
                <w:rFonts w:hint="eastAsia" w:ascii="宋体" w:hAnsi="宋体"/>
                <w:b/>
                <w:bCs/>
                <w:color w:val="auto"/>
                <w:sz w:val="24"/>
                <w:lang w:val="en-GB"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4059" w:type="dxa"/>
            <w:tcBorders>
              <w:right w:val="single" w:color="auto" w:sz="4" w:space="0"/>
            </w:tcBorders>
            <w:noWrap w:val="0"/>
            <w:vAlign w:val="center"/>
          </w:tcPr>
          <w:p>
            <w:pPr>
              <w:spacing w:line="360" w:lineRule="auto"/>
              <w:jc w:val="center"/>
              <w:rPr>
                <w:rFonts w:hint="eastAsia" w:ascii="宋体" w:hAnsi="宋体" w:eastAsia="宋体"/>
                <w:color w:val="auto"/>
                <w:sz w:val="24"/>
                <w:lang w:eastAsia="zh-CN"/>
              </w:rPr>
            </w:pPr>
            <w:r>
              <w:rPr>
                <w:rFonts w:hint="eastAsia" w:ascii="宋体" w:hAnsi="宋体"/>
                <w:color w:val="000000"/>
                <w:sz w:val="24"/>
                <w:lang w:eastAsia="zh-CN"/>
              </w:rPr>
              <w:t>瓶窑华兴社区垃圾集置点（收集点）采购</w:t>
            </w:r>
          </w:p>
        </w:tc>
        <w:tc>
          <w:tcPr>
            <w:tcW w:w="2927" w:type="dxa"/>
            <w:tcBorders>
              <w:left w:val="single" w:color="auto" w:sz="4" w:space="0"/>
              <w:right w:val="single" w:color="auto" w:sz="4" w:space="0"/>
            </w:tcBorders>
            <w:noWrap w:val="0"/>
            <w:vAlign w:val="center"/>
          </w:tcPr>
          <w:p>
            <w:pPr>
              <w:spacing w:line="360" w:lineRule="auto"/>
              <w:jc w:val="center"/>
              <w:rPr>
                <w:rFonts w:hint="eastAsia" w:ascii="宋体" w:hAnsi="宋体"/>
                <w:color w:val="auto"/>
                <w:sz w:val="24"/>
              </w:rPr>
            </w:pPr>
            <w:r>
              <w:rPr>
                <w:rFonts w:hint="eastAsia" w:ascii="宋体" w:hAnsi="宋体"/>
                <w:color w:val="auto"/>
                <w:sz w:val="24"/>
                <w:lang w:eastAsia="zh-CN"/>
              </w:rPr>
              <w:t>响应招标要求</w:t>
            </w:r>
          </w:p>
        </w:tc>
        <w:tc>
          <w:tcPr>
            <w:tcW w:w="2823" w:type="dxa"/>
            <w:tcBorders>
              <w:left w:val="single" w:color="auto" w:sz="4" w:space="0"/>
              <w:right w:val="single" w:color="auto" w:sz="4" w:space="0"/>
            </w:tcBorders>
            <w:noWrap w:val="0"/>
            <w:vAlign w:val="center"/>
          </w:tcPr>
          <w:p>
            <w:pPr>
              <w:spacing w:line="360" w:lineRule="auto"/>
              <w:jc w:val="both"/>
              <w:rPr>
                <w:rFonts w:hint="eastAsia" w:ascii="宋体" w:hAnsi="宋体"/>
                <w:color w:val="auto"/>
                <w:sz w:val="24"/>
              </w:rPr>
            </w:pPr>
            <w:r>
              <w:rPr>
                <w:rFonts w:hint="eastAsia" w:ascii="宋体" w:hAnsi="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12" w:hRule="atLeast"/>
          <w:jc w:val="center"/>
        </w:trPr>
        <w:tc>
          <w:tcPr>
            <w:tcW w:w="4059" w:type="dxa"/>
            <w:tcBorders>
              <w:right w:val="single" w:color="auto" w:sz="4" w:space="0"/>
            </w:tcBorders>
            <w:noWrap w:val="0"/>
            <w:vAlign w:val="center"/>
          </w:tcPr>
          <w:p>
            <w:pPr>
              <w:spacing w:line="360" w:lineRule="auto"/>
              <w:jc w:val="center"/>
              <w:rPr>
                <w:rFonts w:ascii="宋体" w:hAnsi="宋体"/>
                <w:b/>
                <w:bCs/>
                <w:color w:val="auto"/>
                <w:sz w:val="24"/>
                <w:lang w:val="en-GB"/>
              </w:rPr>
            </w:pPr>
            <w:r>
              <w:rPr>
                <w:rFonts w:hint="eastAsia" w:ascii="宋体" w:hAnsi="宋体"/>
                <w:b/>
                <w:bCs/>
                <w:color w:val="auto"/>
                <w:sz w:val="24"/>
                <w:lang w:val="en-GB"/>
              </w:rPr>
              <w:t>总价</w:t>
            </w:r>
          </w:p>
        </w:tc>
        <w:tc>
          <w:tcPr>
            <w:tcW w:w="5750" w:type="dxa"/>
            <w:gridSpan w:val="2"/>
            <w:tcBorders>
              <w:left w:val="single" w:color="auto" w:sz="4" w:space="0"/>
            </w:tcBorders>
            <w:noWrap w:val="0"/>
            <w:vAlign w:val="center"/>
          </w:tcPr>
          <w:p>
            <w:pPr>
              <w:spacing w:line="360" w:lineRule="auto"/>
              <w:jc w:val="both"/>
              <w:rPr>
                <w:rFonts w:hint="eastAsia" w:ascii="宋体" w:hAnsi="宋体"/>
                <w:color w:val="auto"/>
                <w:sz w:val="24"/>
              </w:rPr>
            </w:pPr>
            <w:r>
              <w:rPr>
                <w:rFonts w:hint="eastAsia" w:ascii="宋体" w:hAnsi="宋体"/>
                <w:b/>
                <w:bCs/>
                <w:color w:val="auto"/>
                <w:sz w:val="24"/>
              </w:rPr>
              <w:t>（大写）</w:t>
            </w:r>
          </w:p>
        </w:tc>
      </w:tr>
    </w:tbl>
    <w:p>
      <w:pPr>
        <w:shd w:val="clear" w:color="auto" w:fill="FFFFFF"/>
        <w:snapToGrid w:val="0"/>
        <w:spacing w:line="360" w:lineRule="auto"/>
        <w:ind w:firstLine="480"/>
        <w:rPr>
          <w:rFonts w:hint="eastAsia" w:ascii="宋体" w:hAnsi="宋体" w:cs="宋体"/>
          <w:color w:val="auto"/>
          <w:kern w:val="0"/>
          <w:sz w:val="24"/>
          <w:lang w:val="zh-CN"/>
        </w:rPr>
      </w:pPr>
      <w:r>
        <w:rPr>
          <w:rFonts w:hint="eastAsia" w:ascii="宋体" w:hAnsi="宋体" w:cs="宋体"/>
          <w:color w:val="auto"/>
          <w:kern w:val="0"/>
          <w:sz w:val="24"/>
        </w:rPr>
        <w:t>1</w:t>
      </w:r>
      <w:r>
        <w:rPr>
          <w:rFonts w:hint="eastAsia" w:ascii="宋体" w:hAnsi="宋体" w:cs="宋体"/>
          <w:color w:val="auto"/>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auto"/>
          <w:kern w:val="0"/>
          <w:sz w:val="24"/>
        </w:rPr>
      </w:pPr>
      <w:r>
        <w:rPr>
          <w:rFonts w:hint="eastAsia" w:ascii="宋体" w:hAnsi="宋体" w:cs="宋体"/>
          <w:color w:val="auto"/>
          <w:kern w:val="0"/>
          <w:sz w:val="24"/>
          <w:lang w:val="zh-CN"/>
        </w:rPr>
        <w:t>(1)我方要约有效期为自投标截止；日起90天；</w:t>
      </w:r>
    </w:p>
    <w:p>
      <w:pPr>
        <w:shd w:val="clear" w:color="auto" w:fill="FFFFFF"/>
        <w:snapToGrid w:val="0"/>
        <w:spacing w:line="360" w:lineRule="auto"/>
        <w:ind w:firstLine="480"/>
        <w:rPr>
          <w:rFonts w:hint="eastAsia" w:ascii="宋体" w:hAnsi="宋体" w:cs="宋体"/>
          <w:color w:val="auto"/>
          <w:kern w:val="0"/>
          <w:sz w:val="24"/>
          <w:lang w:val="zh-CN"/>
        </w:rPr>
      </w:pPr>
      <w:r>
        <w:rPr>
          <w:rFonts w:hint="eastAsia" w:ascii="宋体" w:hAnsi="宋体" w:cs="宋体"/>
          <w:color w:val="auto"/>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auto"/>
          <w:kern w:val="0"/>
          <w:sz w:val="24"/>
          <w:lang w:val="zh-CN"/>
        </w:rPr>
      </w:pPr>
    </w:p>
    <w:p>
      <w:pPr>
        <w:shd w:val="clear" w:color="auto" w:fill="FFFFFF"/>
        <w:snapToGrid w:val="0"/>
        <w:spacing w:line="360" w:lineRule="auto"/>
        <w:ind w:firstLine="360" w:firstLineChars="150"/>
        <w:rPr>
          <w:rFonts w:hint="eastAsia" w:ascii="宋体" w:hAnsi="宋体" w:cs="宋体"/>
          <w:color w:val="auto"/>
          <w:kern w:val="0"/>
          <w:sz w:val="24"/>
          <w:u w:val="single"/>
          <w:lang w:val="zh-CN"/>
        </w:rPr>
      </w:pPr>
      <w:r>
        <w:rPr>
          <w:rFonts w:hint="eastAsia" w:ascii="宋体" w:hAnsi="宋体" w:cs="宋体"/>
          <w:color w:val="auto"/>
          <w:kern w:val="0"/>
          <w:sz w:val="24"/>
          <w:lang w:val="zh-CN"/>
        </w:rPr>
        <w:t>法定（授权）代表人（签字）：</w:t>
      </w:r>
      <w:r>
        <w:rPr>
          <w:rFonts w:hint="eastAsia" w:ascii="宋体" w:hAnsi="宋体" w:cs="宋体"/>
          <w:color w:val="auto"/>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auto"/>
          <w:kern w:val="0"/>
          <w:sz w:val="24"/>
        </w:rPr>
      </w:pPr>
      <w:r>
        <w:rPr>
          <w:rFonts w:hint="eastAsia" w:ascii="宋体" w:hAnsi="宋体" w:cs="宋体"/>
          <w:color w:val="auto"/>
          <w:kern w:val="0"/>
          <w:sz w:val="24"/>
        </w:rPr>
        <w:t>投标人名称（公章）:</w:t>
      </w:r>
      <w:r>
        <w:rPr>
          <w:rFonts w:hint="eastAsia" w:ascii="宋体" w:hAnsi="宋体" w:cs="宋体"/>
          <w:color w:val="auto"/>
          <w:kern w:val="0"/>
          <w:sz w:val="24"/>
          <w:u w:val="single"/>
          <w:lang w:val="zh-CN"/>
        </w:rPr>
        <w:t xml:space="preserve">                </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auto"/>
          <w:kern w:val="0"/>
          <w:sz w:val="24"/>
          <w:lang w:val="zh-CN"/>
        </w:rPr>
        <w:t>日期：</w:t>
      </w:r>
    </w:p>
    <w:p>
      <w:pPr>
        <w:shd w:val="clear" w:color="auto" w:fill="FFFFFF"/>
        <w:snapToGrid w:val="0"/>
        <w:spacing w:line="360" w:lineRule="auto"/>
        <w:rPr>
          <w:rFonts w:hint="eastAsia" w:ascii="宋体" w:hAnsi="宋体" w:cs="宋体"/>
          <w:color w:val="000000"/>
          <w:sz w:val="24"/>
        </w:rPr>
      </w:pPr>
    </w:p>
    <w:p>
      <w:pPr>
        <w:pageBreakBefore/>
        <w:numPr>
          <w:ilvl w:val="0"/>
          <w:numId w:val="5"/>
        </w:numPr>
        <w:shd w:val="clear" w:color="auto" w:fill="FFFFFF"/>
        <w:snapToGrid w:val="0"/>
        <w:spacing w:line="360" w:lineRule="auto"/>
        <w:ind w:left="0" w:leftChars="0" w:firstLine="0" w:firstLineChars="0"/>
        <w:jc w:val="center"/>
        <w:outlineLvl w:val="2"/>
        <w:rPr>
          <w:rFonts w:hint="eastAsia" w:ascii="宋体" w:hAnsi="宋体" w:cs="宋体"/>
          <w:b/>
          <w:bCs/>
          <w:color w:val="auto"/>
          <w:sz w:val="24"/>
        </w:rPr>
      </w:pPr>
      <w:bookmarkStart w:id="34" w:name="_Toc233618992"/>
      <w:r>
        <w:rPr>
          <w:rFonts w:hint="eastAsia" w:ascii="宋体" w:hAnsi="宋体" w:cs="宋体"/>
          <w:b/>
          <w:bCs/>
          <w:color w:val="auto"/>
          <w:sz w:val="24"/>
        </w:rPr>
        <w:t>报价明细清单</w:t>
      </w:r>
      <w:bookmarkEnd w:id="34"/>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1300"/>
        <w:gridCol w:w="815"/>
        <w:gridCol w:w="1436"/>
        <w:gridCol w:w="1340"/>
        <w:gridCol w:w="1904"/>
        <w:gridCol w:w="2104"/>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300" w:type="dxa"/>
            <w:tcBorders>
              <w:top w:val="single" w:color="auto" w:sz="8" w:space="0"/>
              <w:left w:val="single" w:color="auto" w:sz="8" w:space="0"/>
              <w:bottom w:val="single" w:color="auto" w:sz="2" w:space="0"/>
              <w:right w:val="single" w:color="auto" w:sz="2"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591" w:type="dxa"/>
            <w:gridSpan w:val="3"/>
            <w:tcBorders>
              <w:top w:val="single" w:color="auto" w:sz="8" w:space="0"/>
              <w:left w:val="single" w:color="auto" w:sz="2" w:space="0"/>
              <w:bottom w:val="single" w:color="auto" w:sz="2" w:space="0"/>
              <w:right w:val="single" w:color="auto" w:sz="2"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1904" w:type="dxa"/>
            <w:tcBorders>
              <w:top w:val="single" w:color="auto" w:sz="8" w:space="0"/>
              <w:left w:val="single" w:color="auto" w:sz="2" w:space="0"/>
              <w:bottom w:val="single" w:color="auto" w:sz="2" w:space="0"/>
              <w:right w:val="single" w:color="auto" w:sz="4"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价格</w:t>
            </w:r>
          </w:p>
        </w:tc>
        <w:tc>
          <w:tcPr>
            <w:tcW w:w="2104" w:type="dxa"/>
            <w:tcBorders>
              <w:top w:val="single" w:color="auto" w:sz="8" w:space="0"/>
              <w:left w:val="single" w:color="auto" w:sz="4" w:space="0"/>
              <w:bottom w:val="single" w:color="auto" w:sz="2" w:space="0"/>
              <w:right w:val="single" w:color="auto" w:sz="8"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1300" w:type="dxa"/>
            <w:tcBorders>
              <w:top w:val="single" w:color="auto" w:sz="2"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591" w:type="dxa"/>
            <w:gridSpan w:val="3"/>
            <w:tcBorders>
              <w:top w:val="single" w:color="auto" w:sz="2" w:space="0"/>
              <w:left w:val="single" w:color="auto" w:sz="2" w:space="0"/>
              <w:bottom w:val="single" w:color="auto" w:sz="4" w:space="0"/>
              <w:right w:val="single" w:color="auto" w:sz="2" w:space="0"/>
            </w:tcBorders>
            <w:noWrap w:val="0"/>
            <w:vAlign w:val="top"/>
          </w:tcPr>
          <w:p>
            <w:pPr>
              <w:numPr>
                <w:ilvl w:val="0"/>
                <w:numId w:val="0"/>
              </w:numPr>
              <w:jc w:val="center"/>
              <w:rPr>
                <w:rFonts w:hint="eastAsia" w:ascii="宋体" w:hAnsi="宋体" w:eastAsia="宋体" w:cs="宋体"/>
                <w:color w:val="auto"/>
                <w:sz w:val="24"/>
                <w:szCs w:val="24"/>
                <w:lang w:val="en-US" w:eastAsia="zh-CN"/>
              </w:rPr>
            </w:pPr>
          </w:p>
        </w:tc>
        <w:tc>
          <w:tcPr>
            <w:tcW w:w="1904" w:type="dxa"/>
            <w:tcBorders>
              <w:top w:val="single" w:color="auto" w:sz="2"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2"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210" w:firstLineChars="10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bottom w:val="single" w:color="auto" w:sz="4" w:space="0"/>
              <w:right w:val="single" w:color="auto" w:sz="2"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numPr>
                <w:ilvl w:val="0"/>
                <w:numId w:val="0"/>
              </w:numPr>
              <w:ind w:left="0" w:leftChars="0" w:firstLine="0" w:firstLineChars="0"/>
              <w:jc w:val="center"/>
              <w:rPr>
                <w:rFonts w:hint="eastAsia" w:ascii="宋体" w:hAnsi="宋体" w:eastAsia="宋体" w:cs="宋体"/>
                <w:color w:val="auto"/>
                <w:kern w:val="2"/>
                <w:sz w:val="21"/>
                <w:szCs w:val="21"/>
                <w:vertAlign w:val="baseline"/>
                <w:lang w:val="en-US" w:eastAsia="zh-CN" w:bidi="ar-SA"/>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300" w:type="dxa"/>
            <w:tcBorders>
              <w:top w:val="single" w:color="auto" w:sz="4" w:space="0"/>
              <w:left w:val="single" w:color="auto" w:sz="8" w:space="0"/>
              <w:right w:val="single" w:color="auto" w:sz="2" w:space="0"/>
            </w:tcBorders>
            <w:noWrap w:val="0"/>
            <w:vAlign w:val="center"/>
          </w:tcPr>
          <w:p>
            <w:pPr>
              <w:snapToGrid w:val="0"/>
              <w:spacing w:line="360" w:lineRule="auto"/>
              <w:jc w:val="center"/>
              <w:rPr>
                <w:rFonts w:hint="eastAsia" w:ascii="宋体" w:hAnsi="宋体" w:cs="宋体"/>
                <w:color w:val="auto"/>
                <w:sz w:val="24"/>
                <w:szCs w:val="21"/>
              </w:rPr>
            </w:pPr>
          </w:p>
        </w:tc>
        <w:tc>
          <w:tcPr>
            <w:tcW w:w="3591"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left"/>
              <w:rPr>
                <w:rFonts w:hint="eastAsia" w:ascii="宋体" w:hAnsi="宋体" w:cs="宋体"/>
                <w:color w:val="auto"/>
                <w:sz w:val="24"/>
                <w:szCs w:val="21"/>
              </w:rPr>
            </w:pPr>
            <w:r>
              <w:rPr>
                <w:rFonts w:hint="eastAsia" w:ascii="宋体" w:hAnsi="宋体" w:cs="宋体"/>
                <w:color w:val="auto"/>
                <w:sz w:val="24"/>
                <w:szCs w:val="21"/>
              </w:rPr>
              <w:t>……</w:t>
            </w:r>
          </w:p>
        </w:tc>
        <w:tc>
          <w:tcPr>
            <w:tcW w:w="190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szCs w:val="21"/>
              </w:rPr>
            </w:pPr>
          </w:p>
        </w:tc>
        <w:tc>
          <w:tcPr>
            <w:tcW w:w="2104"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2115"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cs="宋体"/>
                <w:color w:val="auto"/>
                <w:sz w:val="24"/>
                <w:szCs w:val="21"/>
              </w:rPr>
            </w:pPr>
            <w:r>
              <w:rPr>
                <w:rFonts w:hint="eastAsia" w:ascii="宋体" w:hAnsi="宋体" w:cs="宋体"/>
                <w:color w:val="auto"/>
                <w:sz w:val="24"/>
                <w:szCs w:val="21"/>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auto"/>
                <w:sz w:val="24"/>
                <w:szCs w:val="21"/>
              </w:rPr>
            </w:pPr>
            <w:r>
              <w:rPr>
                <w:rFonts w:hint="eastAsia" w:ascii="宋体" w:hAnsi="宋体" w:cs="宋体"/>
                <w:color w:val="auto"/>
                <w:sz w:val="24"/>
                <w:szCs w:val="21"/>
              </w:rPr>
              <w:t>大写</w:t>
            </w:r>
          </w:p>
        </w:tc>
        <w:tc>
          <w:tcPr>
            <w:tcW w:w="5348" w:type="dxa"/>
            <w:gridSpan w:val="3"/>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2115"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cs="宋体"/>
                <w:color w:val="auto"/>
                <w:sz w:val="24"/>
                <w:szCs w:val="21"/>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snapToGrid w:val="0"/>
              <w:spacing w:line="360" w:lineRule="auto"/>
              <w:jc w:val="center"/>
              <w:rPr>
                <w:rFonts w:hint="eastAsia" w:ascii="宋体" w:hAnsi="宋体" w:cs="宋体"/>
                <w:color w:val="auto"/>
                <w:sz w:val="24"/>
                <w:szCs w:val="21"/>
              </w:rPr>
            </w:pPr>
            <w:r>
              <w:rPr>
                <w:rFonts w:hint="eastAsia" w:ascii="宋体" w:hAnsi="宋体" w:cs="宋体"/>
                <w:color w:val="auto"/>
                <w:sz w:val="24"/>
                <w:szCs w:val="21"/>
              </w:rPr>
              <w:t>小写</w:t>
            </w:r>
          </w:p>
        </w:tc>
        <w:tc>
          <w:tcPr>
            <w:tcW w:w="5348" w:type="dxa"/>
            <w:gridSpan w:val="3"/>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auto"/>
                <w:sz w:val="24"/>
                <w:szCs w:val="21"/>
              </w:rPr>
            </w:pPr>
          </w:p>
        </w:tc>
      </w:tr>
    </w:tbl>
    <w:p>
      <w:pPr>
        <w:snapToGrid w:val="0"/>
        <w:spacing w:line="360" w:lineRule="auto"/>
        <w:rPr>
          <w:rFonts w:hint="eastAsia" w:ascii="宋体" w:hAnsi="宋体" w:cs="宋体"/>
          <w:color w:val="auto"/>
        </w:rPr>
      </w:pPr>
    </w:p>
    <w:p>
      <w:pPr>
        <w:pStyle w:val="11"/>
        <w:snapToGrid w:val="0"/>
        <w:spacing w:line="360" w:lineRule="auto"/>
        <w:rPr>
          <w:rFonts w:hint="eastAsia" w:ascii="宋体" w:hAnsi="宋体" w:eastAsia="宋体" w:cs="宋体"/>
          <w:color w:val="auto"/>
          <w:sz w:val="24"/>
        </w:rPr>
      </w:pPr>
      <w:r>
        <w:rPr>
          <w:rFonts w:hint="eastAsia" w:ascii="宋体" w:hAnsi="宋体" w:eastAsia="宋体" w:cs="宋体"/>
          <w:color w:val="auto"/>
          <w:kern w:val="0"/>
          <w:sz w:val="24"/>
          <w:lang w:val="zh-CN"/>
        </w:rPr>
        <w:t>注：</w:t>
      </w:r>
      <w:r>
        <w:rPr>
          <w:rFonts w:hint="eastAsia" w:ascii="宋体" w:hAnsi="宋体" w:eastAsia="宋体" w:cs="宋体"/>
          <w:color w:val="auto"/>
          <w:sz w:val="24"/>
        </w:rPr>
        <w:t>可根据具体情况调整报价明细清单格式，但应包括项目涉及的一切相关税费等费用。</w:t>
      </w:r>
    </w:p>
    <w:p>
      <w:pPr>
        <w:pStyle w:val="11"/>
        <w:snapToGrid w:val="0"/>
        <w:spacing w:line="360" w:lineRule="auto"/>
        <w:rPr>
          <w:rFonts w:hint="eastAsia" w:ascii="宋体" w:hAnsi="宋体" w:eastAsia="宋体" w:cs="宋体"/>
          <w:color w:val="auto"/>
          <w:sz w:val="24"/>
        </w:rPr>
      </w:pPr>
    </w:p>
    <w:p>
      <w:pPr>
        <w:pStyle w:val="11"/>
        <w:snapToGrid w:val="0"/>
        <w:spacing w:line="360" w:lineRule="auto"/>
        <w:rPr>
          <w:rFonts w:hint="eastAsia" w:ascii="宋体" w:hAnsi="宋体" w:eastAsia="宋体" w:cs="宋体"/>
          <w:color w:val="auto"/>
          <w:sz w:val="24"/>
        </w:rPr>
      </w:pPr>
    </w:p>
    <w:p>
      <w:pPr>
        <w:shd w:val="clear" w:color="auto" w:fill="FFFFFF"/>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投标人名称(公章)：</w:t>
      </w:r>
    </w:p>
    <w:p>
      <w:pPr>
        <w:shd w:val="clear" w:color="auto" w:fill="FFFFFF"/>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授权代表人(签字)：</w:t>
      </w:r>
    </w:p>
    <w:p>
      <w:pPr>
        <w:shd w:val="clear" w:color="auto" w:fill="FFFFFF"/>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日期：    年  月   日</w:t>
      </w:r>
    </w:p>
    <w:p>
      <w:pPr>
        <w:pageBreakBefore/>
        <w:shd w:val="clear" w:color="auto" w:fill="FFFFFF"/>
        <w:snapToGrid w:val="0"/>
        <w:spacing w:line="600" w:lineRule="exact"/>
        <w:jc w:val="center"/>
        <w:outlineLvl w:val="2"/>
        <w:rPr>
          <w:rFonts w:hint="eastAsia" w:ascii="宋体" w:hAnsi="宋体" w:cs="宋体"/>
          <w:b/>
          <w:color w:val="000000"/>
          <w:kern w:val="0"/>
          <w:sz w:val="24"/>
          <w:highlight w:val="none"/>
        </w:rPr>
      </w:pPr>
      <w:r>
        <w:rPr>
          <w:rFonts w:hint="eastAsia" w:ascii="宋体" w:hAnsi="宋体" w:cs="宋体"/>
          <w:b/>
          <w:bCs/>
          <w:color w:val="000000"/>
          <w:sz w:val="28"/>
          <w:szCs w:val="28"/>
          <w:highlight w:val="none"/>
        </w:rPr>
        <w:t>中小企业声明函、监狱企业、残疾人福利性单位及其他相关的充分的证明材料中小企业声明函及其相关的充分的证明材料</w:t>
      </w:r>
    </w:p>
    <w:p>
      <w:pPr>
        <w:jc w:val="center"/>
        <w:rPr>
          <w:rFonts w:hint="eastAsia" w:ascii="宋体" w:hAnsi="宋体" w:cs="宋体"/>
          <w:b/>
          <w:bCs/>
          <w:sz w:val="28"/>
          <w:szCs w:val="28"/>
          <w:highlight w:val="none"/>
        </w:rPr>
      </w:pPr>
    </w:p>
    <w:p>
      <w:pPr>
        <w:jc w:val="center"/>
        <w:rPr>
          <w:rFonts w:hint="eastAsia" w:ascii="宋体" w:hAnsi="宋体" w:cs="宋体"/>
          <w:highlight w:val="none"/>
        </w:rPr>
      </w:pPr>
      <w:r>
        <w:rPr>
          <w:rFonts w:hint="eastAsia" w:ascii="宋体" w:hAnsi="宋体" w:cs="宋体"/>
          <w:b/>
          <w:bCs/>
          <w:sz w:val="28"/>
          <w:szCs w:val="28"/>
          <w:highlight w:val="none"/>
        </w:rPr>
        <w:t>中小企业声明函</w:t>
      </w:r>
    </w:p>
    <w:p>
      <w:pPr>
        <w:widowControl/>
        <w:snapToGrid w:val="0"/>
        <w:spacing w:line="600" w:lineRule="exact"/>
        <w:ind w:firstLine="480" w:firstLineChars="20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【不属于中小企业的无需填写、递交】</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本公司郑重声明，根据《</w:t>
      </w:r>
      <w:r>
        <w:rPr>
          <w:rFonts w:hint="eastAsia" w:ascii="宋体" w:hAnsi="宋体" w:cs="宋体"/>
          <w:color w:val="000000"/>
          <w:kern w:val="0"/>
          <w:sz w:val="24"/>
          <w:highlight w:val="none"/>
          <w:lang w:eastAsia="zh-CN"/>
        </w:rPr>
        <w:t>政府采购促进中小企业发展管理办法</w:t>
      </w:r>
      <w:r>
        <w:rPr>
          <w:rFonts w:hint="eastAsia" w:ascii="宋体" w:hAnsi="宋体" w:cs="宋体"/>
          <w:color w:val="000000"/>
          <w:kern w:val="0"/>
          <w:sz w:val="24"/>
          <w:highlight w:val="none"/>
        </w:rPr>
        <w:t>》（财库[2011]181 号）的规定，本公司为的______（请填写：中型、小型、微型）企业。即，本公司同时满足以下条件：</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kern w:val="0"/>
          <w:sz w:val="24"/>
          <w:highlight w:val="none"/>
          <w:u w:val="single"/>
        </w:rPr>
        <w:t>______</w:t>
      </w:r>
      <w:r>
        <w:rPr>
          <w:rFonts w:hint="eastAsia" w:ascii="宋体" w:hAnsi="宋体" w:cs="宋体"/>
          <w:color w:val="000000"/>
          <w:kern w:val="0"/>
          <w:sz w:val="24"/>
          <w:highlight w:val="none"/>
        </w:rPr>
        <w:t>（请填写：中型、小型、微型）企业。</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000000"/>
          <w:kern w:val="0"/>
          <w:sz w:val="24"/>
          <w:highlight w:val="none"/>
        </w:rPr>
      </w:pP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投标人名称（盖章）：</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日期：    年  月  日</w:t>
      </w:r>
    </w:p>
    <w:p>
      <w:pPr>
        <w:widowControl/>
        <w:pBdr>
          <w:bottom w:val="single" w:color="auto" w:sz="6" w:space="1"/>
        </w:pBdr>
        <w:snapToGrid w:val="0"/>
        <w:spacing w:line="600" w:lineRule="exact"/>
        <w:ind w:firstLine="480" w:firstLineChars="200"/>
        <w:jc w:val="left"/>
        <w:rPr>
          <w:rFonts w:hint="eastAsia" w:ascii="宋体" w:hAnsi="宋体" w:cs="宋体"/>
          <w:color w:val="000000"/>
          <w:kern w:val="0"/>
          <w:sz w:val="24"/>
          <w:highlight w:val="none"/>
        </w:rPr>
      </w:pPr>
    </w:p>
    <w:p>
      <w:pPr>
        <w:widowControl/>
        <w:snapToGrid w:val="0"/>
        <w:spacing w:line="600" w:lineRule="exact"/>
        <w:ind w:firstLine="480" w:firstLineChars="200"/>
        <w:jc w:val="left"/>
        <w:rPr>
          <w:rFonts w:hint="eastAsia" w:ascii="宋体" w:hAnsi="宋体" w:cs="宋体"/>
          <w:color w:val="000000"/>
          <w:kern w:val="0"/>
          <w:sz w:val="24"/>
          <w:highlight w:val="none"/>
        </w:rPr>
      </w:pP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填写说明：</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1）投标人为中型、小型、微型企业的提供此函；</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2）中型企业不享受价格扣除，小型、微型企业的行业类别由评审专家结合投标人出具的证明材料认定；经认定不符合小型、微型企业标准的，不享受价格扣除；</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3）所投标项内的产品如由多个企业制造的，在填写企业类型时，按产品生产企业中规模最大的企业类型填写；</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600" w:lineRule="exact"/>
        <w:ind w:firstLine="480" w:firstLineChars="200"/>
        <w:jc w:val="left"/>
        <w:rPr>
          <w:rFonts w:hint="eastAsia" w:ascii="宋体" w:hAnsi="宋体" w:cs="宋体"/>
          <w:b/>
          <w:color w:val="000000"/>
          <w:kern w:val="0"/>
          <w:sz w:val="24"/>
          <w:highlight w:val="none"/>
        </w:rPr>
      </w:pPr>
      <w:r>
        <w:rPr>
          <w:rFonts w:hint="eastAsia" w:ascii="宋体" w:hAnsi="宋体" w:cs="宋体"/>
          <w:color w:val="000000"/>
          <w:kern w:val="0"/>
          <w:sz w:val="24"/>
          <w:highlight w:val="none"/>
        </w:rPr>
        <w:t>5）注：小型、微型企业参加政府采购活动时，应提供：a）《中小企业声明函》；上述证明材料提供不齐全的，不能享受价格扣除。</w:t>
      </w:r>
    </w:p>
    <w:p>
      <w:pPr>
        <w:widowControl/>
        <w:snapToGrid w:val="0"/>
        <w:spacing w:line="600" w:lineRule="exact"/>
        <w:ind w:firstLine="480" w:firstLineChars="200"/>
        <w:jc w:val="left"/>
        <w:rPr>
          <w:rFonts w:hint="eastAsia" w:ascii="宋体" w:hAnsi="宋体" w:cs="宋体"/>
          <w:color w:val="000000"/>
          <w:kern w:val="0"/>
          <w:sz w:val="24"/>
          <w:highlight w:val="none"/>
        </w:rPr>
      </w:pPr>
    </w:p>
    <w:p>
      <w:pPr>
        <w:widowControl/>
        <w:snapToGrid w:val="0"/>
        <w:spacing w:line="600" w:lineRule="exact"/>
        <w:ind w:firstLine="482" w:firstLineChars="200"/>
        <w:jc w:val="left"/>
        <w:rPr>
          <w:rFonts w:hint="eastAsia" w:ascii="宋体" w:hAnsi="宋体" w:cs="宋体"/>
          <w:b/>
          <w:bCs/>
          <w:color w:val="000000"/>
          <w:kern w:val="0"/>
          <w:sz w:val="24"/>
          <w:highlight w:val="none"/>
        </w:rPr>
      </w:pPr>
      <w:r>
        <w:rPr>
          <w:rFonts w:hint="eastAsia" w:ascii="宋体" w:hAnsi="宋体" w:cs="宋体"/>
          <w:b/>
          <w:bCs/>
          <w:color w:val="000000"/>
          <w:kern w:val="0"/>
          <w:sz w:val="24"/>
          <w:highlight w:val="none"/>
        </w:rPr>
        <w:t>投标人提供的中小企业声明函与实际情况不符的，视为投标人提供虚假材料投标的，投标无效。</w:t>
      </w:r>
    </w:p>
    <w:p>
      <w:pPr>
        <w:widowControl/>
        <w:snapToGrid w:val="0"/>
        <w:spacing w:line="600" w:lineRule="exact"/>
        <w:jc w:val="center"/>
        <w:rPr>
          <w:rFonts w:hint="eastAsia" w:ascii="宋体" w:hAnsi="宋体" w:cs="宋体"/>
          <w:b/>
          <w:color w:val="000000"/>
          <w:kern w:val="0"/>
          <w:sz w:val="24"/>
          <w:highlight w:val="none"/>
        </w:rPr>
        <w:sectPr>
          <w:pgSz w:w="11906" w:h="16838"/>
          <w:pgMar w:top="1531" w:right="1304" w:bottom="1531" w:left="1361" w:header="851" w:footer="601" w:gutter="0"/>
          <w:cols w:space="720" w:num="1"/>
          <w:docGrid w:linePitch="315" w:charSpace="0"/>
        </w:sectPr>
      </w:pPr>
    </w:p>
    <w:p>
      <w:pPr>
        <w:widowControl/>
        <w:snapToGrid w:val="0"/>
        <w:spacing w:line="600" w:lineRule="exact"/>
        <w:jc w:val="center"/>
        <w:rPr>
          <w:rFonts w:hint="eastAsia" w:ascii="宋体" w:hAnsi="宋体" w:cs="宋体"/>
          <w:b/>
          <w:color w:val="000000"/>
          <w:kern w:val="0"/>
          <w:sz w:val="24"/>
          <w:highlight w:val="none"/>
        </w:rPr>
      </w:pPr>
      <w:r>
        <w:rPr>
          <w:rFonts w:hint="eastAsia" w:ascii="宋体" w:hAnsi="宋体" w:cs="宋体"/>
          <w:b/>
          <w:bCs/>
          <w:sz w:val="28"/>
          <w:szCs w:val="28"/>
          <w:highlight w:val="none"/>
        </w:rPr>
        <w:t>监狱企业声明函</w:t>
      </w:r>
    </w:p>
    <w:p>
      <w:pPr>
        <w:widowControl/>
        <w:snapToGrid w:val="0"/>
        <w:spacing w:line="600" w:lineRule="exact"/>
        <w:ind w:firstLine="480" w:firstLineChars="20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【不属于监狱企业的无需填写、递交】</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本公司郑重声明，根据《关于政府采购支持监狱企业发展有关问题的通知》 （财库[2014]68 号）的规定，本公司为</w:t>
      </w:r>
      <w:r>
        <w:rPr>
          <w:rFonts w:hint="eastAsia" w:ascii="宋体" w:hAnsi="宋体" w:cs="宋体"/>
          <w:color w:val="000000"/>
          <w:kern w:val="0"/>
          <w:sz w:val="24"/>
          <w:highlight w:val="none"/>
          <w:u w:val="single"/>
        </w:rPr>
        <w:t>监狱企业</w:t>
      </w:r>
      <w:r>
        <w:rPr>
          <w:rFonts w:hint="eastAsia" w:ascii="宋体" w:hAnsi="宋体" w:cs="宋体"/>
          <w:color w:val="000000"/>
          <w:kern w:val="0"/>
          <w:sz w:val="24"/>
          <w:highlight w:val="none"/>
        </w:rPr>
        <w:t>。</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根据上述标准，我公司属于监狱企业的理由为：</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本公司为参加（</w:t>
      </w:r>
      <w:r>
        <w:rPr>
          <w:rFonts w:hint="eastAsia" w:ascii="宋体" w:hAnsi="宋体" w:cs="宋体"/>
          <w:color w:val="000000"/>
          <w:kern w:val="0"/>
          <w:sz w:val="24"/>
          <w:highlight w:val="none"/>
          <w:u w:val="single"/>
        </w:rPr>
        <w:t xml:space="preserve">    项目名称    </w:t>
      </w:r>
      <w:r>
        <w:rPr>
          <w:rFonts w:hint="eastAsia" w:ascii="宋体" w:hAnsi="宋体" w:cs="宋体"/>
          <w:color w:val="000000"/>
          <w:kern w:val="0"/>
          <w:sz w:val="24"/>
          <w:highlight w:val="none"/>
        </w:rPr>
        <w:t>） （项目编号：</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）采购活动提供本企业提供服务。</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000000"/>
          <w:kern w:val="0"/>
          <w:sz w:val="24"/>
          <w:highlight w:val="none"/>
        </w:rPr>
      </w:pP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投标人名称（盖章）：</w:t>
      </w:r>
    </w:p>
    <w:p>
      <w:pPr>
        <w:widowControl/>
        <w:snapToGrid w:val="0"/>
        <w:spacing w:line="600" w:lineRule="exact"/>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日期：    年  月  日</w:t>
      </w:r>
    </w:p>
    <w:p>
      <w:pPr>
        <w:snapToGrid w:val="0"/>
        <w:spacing w:line="600" w:lineRule="exact"/>
        <w:rPr>
          <w:rFonts w:hint="eastAsia" w:ascii="宋体" w:hAnsi="宋体" w:cs="宋体"/>
          <w:b/>
          <w:color w:val="000000"/>
          <w:spacing w:val="6"/>
          <w:sz w:val="24"/>
          <w:highlight w:val="none"/>
        </w:rPr>
      </w:pPr>
      <w:bookmarkStart w:id="35" w:name="OLE_LINK14"/>
      <w:bookmarkStart w:id="36" w:name="OLE_LINK13"/>
    </w:p>
    <w:p>
      <w:pPr>
        <w:snapToGrid w:val="0"/>
        <w:spacing w:line="600" w:lineRule="exact"/>
        <w:rPr>
          <w:rFonts w:hint="eastAsia" w:ascii="宋体" w:hAnsi="宋体" w:cs="宋体"/>
          <w:b/>
          <w:color w:val="000000"/>
          <w:spacing w:val="6"/>
          <w:sz w:val="24"/>
          <w:highlight w:val="none"/>
        </w:rPr>
      </w:pPr>
    </w:p>
    <w:p>
      <w:pPr>
        <w:snapToGrid w:val="0"/>
        <w:spacing w:line="600" w:lineRule="exact"/>
        <w:rPr>
          <w:rFonts w:hint="eastAsia" w:ascii="宋体" w:hAnsi="宋体" w:cs="宋体"/>
          <w:b/>
          <w:color w:val="000000"/>
          <w:spacing w:val="6"/>
          <w:sz w:val="24"/>
          <w:highlight w:val="none"/>
        </w:rPr>
      </w:pPr>
    </w:p>
    <w:p>
      <w:pPr>
        <w:pageBreakBefore/>
        <w:snapToGrid w:val="0"/>
        <w:spacing w:line="600" w:lineRule="exact"/>
        <w:jc w:val="center"/>
        <w:rPr>
          <w:rFonts w:hint="eastAsia" w:ascii="宋体" w:hAnsi="宋体" w:cs="宋体"/>
          <w:b/>
          <w:color w:val="000000"/>
          <w:spacing w:val="6"/>
          <w:sz w:val="24"/>
          <w:highlight w:val="none"/>
        </w:rPr>
      </w:pPr>
      <w:r>
        <w:rPr>
          <w:rFonts w:hint="eastAsia" w:ascii="宋体" w:hAnsi="宋体" w:cs="宋体"/>
          <w:b/>
          <w:bCs/>
          <w:sz w:val="28"/>
          <w:szCs w:val="28"/>
          <w:highlight w:val="none"/>
        </w:rPr>
        <w:t>残疾人福利性单位声明函</w:t>
      </w:r>
      <w:bookmarkEnd w:id="35"/>
      <w:bookmarkEnd w:id="36"/>
    </w:p>
    <w:p>
      <w:pPr>
        <w:snapToGrid w:val="0"/>
        <w:spacing w:line="60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60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本单位对上述声明的真实性负责。如有虚假，将依法承担相应责任。</w:t>
      </w:r>
    </w:p>
    <w:p>
      <w:pPr>
        <w:snapToGrid w:val="0"/>
        <w:spacing w:line="600" w:lineRule="exact"/>
        <w:ind w:firstLine="480" w:firstLineChars="200"/>
        <w:rPr>
          <w:rFonts w:hint="eastAsia" w:ascii="宋体" w:hAnsi="宋体" w:cs="宋体"/>
          <w:color w:val="000000"/>
          <w:sz w:val="24"/>
          <w:highlight w:val="none"/>
        </w:rPr>
      </w:pPr>
    </w:p>
    <w:p>
      <w:pPr>
        <w:snapToGrid w:val="0"/>
        <w:spacing w:line="600" w:lineRule="exact"/>
        <w:ind w:firstLine="480" w:firstLineChars="200"/>
        <w:rPr>
          <w:rFonts w:hint="eastAsia" w:ascii="宋体" w:hAnsi="宋体" w:cs="宋体"/>
          <w:color w:val="000000"/>
          <w:sz w:val="24"/>
          <w:highlight w:val="none"/>
        </w:rPr>
      </w:pPr>
    </w:p>
    <w:p>
      <w:pPr>
        <w:tabs>
          <w:tab w:val="left" w:pos="4860"/>
        </w:tabs>
        <w:snapToGrid w:val="0"/>
        <w:spacing w:line="600" w:lineRule="exact"/>
        <w:ind w:right="1560"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 xml:space="preserve">       单位名称（盖章）：</w:t>
      </w:r>
    </w:p>
    <w:p>
      <w:pPr>
        <w:tabs>
          <w:tab w:val="left" w:pos="4860"/>
        </w:tabs>
        <w:snapToGrid w:val="0"/>
        <w:spacing w:line="600" w:lineRule="exact"/>
        <w:ind w:right="1560"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 xml:space="preserve">       日  期：</w:t>
      </w:r>
    </w:p>
    <w:p>
      <w:pPr>
        <w:pStyle w:val="31"/>
        <w:snapToGrid w:val="0"/>
        <w:spacing w:line="600" w:lineRule="exact"/>
        <w:ind w:left="360" w:firstLine="0" w:firstLineChars="0"/>
        <w:rPr>
          <w:rFonts w:hint="eastAsia" w:ascii="宋体" w:hAnsi="宋体" w:cs="宋体"/>
          <w:color w:val="000000"/>
          <w:sz w:val="24"/>
          <w:szCs w:val="24"/>
          <w:highlight w:val="none"/>
        </w:rPr>
      </w:pPr>
      <w:r>
        <w:rPr>
          <w:rFonts w:hint="eastAsia" w:ascii="宋体" w:hAnsi="宋体" w:cs="宋体"/>
          <w:color w:val="000000"/>
          <w:sz w:val="24"/>
          <w:szCs w:val="24"/>
          <w:highlight w:val="none"/>
        </w:rPr>
        <w:t>扶持政策说明：</w:t>
      </w:r>
    </w:p>
    <w:p>
      <w:pPr>
        <w:pStyle w:val="31"/>
        <w:snapToGrid w:val="0"/>
        <w:spacing w:line="600" w:lineRule="exact"/>
        <w:ind w:firstLine="480"/>
        <w:rPr>
          <w:rFonts w:hint="eastAsia" w:ascii="宋体" w:hAnsi="宋体" w:cs="宋体"/>
          <w:color w:val="000000"/>
          <w:sz w:val="24"/>
          <w:szCs w:val="24"/>
          <w:highlight w:val="none"/>
        </w:rPr>
      </w:pPr>
      <w:r>
        <w:rPr>
          <w:rFonts w:hint="eastAsia" w:ascii="宋体" w:hAnsi="宋体" w:cs="宋体"/>
          <w:color w:val="000000"/>
          <w:sz w:val="24"/>
          <w:szCs w:val="24"/>
          <w:highlight w:val="none"/>
        </w:rPr>
        <w:t>1、落实政府采购扶持政策，加大对中小微企业支持力度，鼓励和支持提高小微企业价格扣除比例。对于非专门面向中小企业的项目，鼓励和支持采购人或者采购代理机构在采购文件中作出规定，对小微企业产品的价格分别给予10%的扣除。</w:t>
      </w:r>
    </w:p>
    <w:p>
      <w:pPr>
        <w:snapToGrid w:val="0"/>
        <w:spacing w:line="600" w:lineRule="exact"/>
        <w:ind w:firstLine="240" w:firstLineChars="100"/>
        <w:rPr>
          <w:rFonts w:hint="eastAsia" w:ascii="宋体" w:hAnsi="宋体" w:cs="宋体"/>
          <w:color w:val="000000"/>
          <w:sz w:val="24"/>
          <w:highlight w:val="none"/>
        </w:rPr>
      </w:pPr>
      <w:r>
        <w:rPr>
          <w:rFonts w:hint="eastAsia" w:ascii="宋体" w:hAnsi="宋体" w:cs="宋体"/>
          <w:color w:val="000000"/>
          <w:sz w:val="24"/>
          <w:highlight w:val="none"/>
        </w:rPr>
        <w:t>2、监狱企业视同小微企业，参加本项目投标的，享受小微企业同等的价格扣除。【注：提供《监狱企业声明函》及其相关的充分的证明材料】。</w:t>
      </w:r>
    </w:p>
    <w:p>
      <w:pPr>
        <w:spacing w:line="360" w:lineRule="auto"/>
        <w:rPr>
          <w:rFonts w:hint="eastAsia" w:ascii="宋体" w:hAnsi="宋体"/>
          <w:color w:val="000000"/>
        </w:rPr>
      </w:pPr>
      <w:r>
        <w:rPr>
          <w:rFonts w:hint="eastAsia" w:ascii="宋体" w:hAnsi="宋体" w:cs="宋体"/>
          <w:color w:val="000000"/>
          <w:sz w:val="24"/>
          <w:szCs w:val="24"/>
          <w:highlight w:val="none"/>
        </w:rPr>
        <w:t>3、残疾人福利性单位参加投标【提供《残疾人福利性单位声明函》】，视为小型、微型企业，享受小微企业政策扶持。</w:t>
      </w:r>
    </w:p>
    <w:p>
      <w:pPr>
        <w:pStyle w:val="10"/>
        <w:spacing w:line="360" w:lineRule="auto"/>
        <w:ind w:firstLine="0"/>
        <w:rPr>
          <w:rFonts w:hint="eastAsia"/>
          <w:lang w:val="zh-CN" w:eastAsia="zh-CN"/>
        </w:rPr>
      </w:pPr>
    </w:p>
    <w:p>
      <w:pPr>
        <w:pStyle w:val="10"/>
        <w:spacing w:line="360" w:lineRule="auto"/>
        <w:ind w:firstLine="0"/>
        <w:rPr>
          <w:rFonts w:hint="eastAsia"/>
          <w:lang w:val="zh-CN" w:eastAsia="zh-CN"/>
        </w:rPr>
      </w:pPr>
    </w:p>
    <w:p>
      <w:pPr>
        <w:pStyle w:val="10"/>
        <w:spacing w:line="360" w:lineRule="auto"/>
        <w:ind w:firstLine="0"/>
        <w:rPr>
          <w:rFonts w:hint="eastAsia"/>
          <w:lang w:val="zh-CN" w:eastAsia="zh-CN"/>
        </w:rPr>
      </w:pPr>
    </w:p>
    <w:p>
      <w:pPr>
        <w:pStyle w:val="10"/>
        <w:spacing w:line="360" w:lineRule="auto"/>
        <w:ind w:firstLine="0"/>
        <w:rPr>
          <w:rFonts w:hint="eastAsia"/>
          <w:lang w:val="zh-CN" w:eastAsia="zh-CN"/>
        </w:rPr>
      </w:pPr>
    </w:p>
    <w:p>
      <w:pPr>
        <w:pStyle w:val="3"/>
        <w:snapToGrid w:val="0"/>
        <w:rPr>
          <w:rFonts w:hint="eastAsia" w:ascii="宋体" w:hAnsi="宋体" w:eastAsia="宋体"/>
          <w:color w:val="000000"/>
        </w:rPr>
      </w:pPr>
      <w:bookmarkStart w:id="37" w:name="_Toc354996708"/>
      <w:bookmarkStart w:id="38" w:name="_Toc33194408"/>
      <w:r>
        <w:rPr>
          <w:rFonts w:hint="eastAsia" w:ascii="宋体" w:hAnsi="宋体"/>
          <w:color w:val="000000"/>
          <w:kern w:val="0"/>
          <w:sz w:val="24"/>
          <w:lang w:val="en-US" w:eastAsia="zh-CN"/>
        </w:rPr>
        <w:t xml:space="preserve">                              </w:t>
      </w:r>
      <w:r>
        <w:rPr>
          <w:rFonts w:hint="eastAsia" w:ascii="宋体" w:hAnsi="宋体" w:eastAsia="宋体"/>
          <w:color w:val="000000"/>
        </w:rPr>
        <w:t>商务</w:t>
      </w:r>
      <w:bookmarkEnd w:id="37"/>
      <w:bookmarkStart w:id="39" w:name="_Toc354996709"/>
      <w:r>
        <w:rPr>
          <w:rFonts w:hint="eastAsia" w:ascii="宋体" w:hAnsi="宋体" w:eastAsia="宋体"/>
          <w:color w:val="000000"/>
        </w:rPr>
        <w:t>技术文件</w:t>
      </w:r>
      <w:bookmarkEnd w:id="38"/>
    </w:p>
    <w:p>
      <w:pPr>
        <w:shd w:val="clear" w:color="auto" w:fill="FFFFFF"/>
        <w:snapToGrid w:val="0"/>
        <w:spacing w:line="360" w:lineRule="auto"/>
        <w:jc w:val="center"/>
        <w:rPr>
          <w:rFonts w:hint="eastAsia" w:ascii="宋体" w:hAnsi="宋体" w:cs="宋体"/>
          <w:b/>
          <w:color w:val="000000"/>
          <w:kern w:val="0"/>
          <w:sz w:val="28"/>
          <w:szCs w:val="28"/>
        </w:rPr>
      </w:pPr>
      <w:bookmarkStart w:id="40" w:name="_Toc31837"/>
      <w:bookmarkStart w:id="41" w:name="_Toc10347"/>
      <w:bookmarkStart w:id="42" w:name="_Toc20650"/>
      <w:bookmarkStart w:id="43" w:name="_Toc13194"/>
      <w:bookmarkStart w:id="44" w:name="_Toc20721"/>
      <w:bookmarkStart w:id="45" w:name="_Toc13349"/>
      <w:bookmarkStart w:id="46" w:name="_Toc25554"/>
      <w:bookmarkStart w:id="47" w:name="_Toc3604"/>
      <w:bookmarkStart w:id="48" w:name="_Toc7049"/>
      <w:bookmarkStart w:id="49" w:name="_Toc7803"/>
      <w:bookmarkStart w:id="50" w:name="_Toc27129"/>
      <w:r>
        <w:rPr>
          <w:rFonts w:hint="eastAsia" w:ascii="宋体" w:hAnsi="宋体" w:cs="宋体"/>
          <w:b/>
          <w:color w:val="000000"/>
          <w:kern w:val="0"/>
          <w:sz w:val="28"/>
          <w:szCs w:val="28"/>
        </w:rPr>
        <w:t>目录</w:t>
      </w:r>
      <w:bookmarkEnd w:id="40"/>
      <w:bookmarkEnd w:id="41"/>
      <w:bookmarkEnd w:id="42"/>
      <w:bookmarkEnd w:id="43"/>
      <w:bookmarkEnd w:id="44"/>
      <w:bookmarkEnd w:id="45"/>
      <w:bookmarkEnd w:id="46"/>
      <w:bookmarkEnd w:id="47"/>
      <w:bookmarkEnd w:id="48"/>
      <w:bookmarkEnd w:id="49"/>
      <w:bookmarkEnd w:id="50"/>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（1）评分响应表……………………………………………………………………（页码）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（2）项目技术规范和服务要求实质性内容响应表………………………………（页码）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（4）法定代表人（或公司负责人）授权委托书……………………………………（页码）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（5）法定代表人（或公司负责人）及授权代表人的身份证………………………（页码）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（6）授权代理人本单位社保证明…………………………………………………（页码）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（7）无失信行为承诺书………………………………………………………………（页码）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（8）本项目完整的实施方案…………………………………………………………（页码）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（9）技术偏离表………………………………………………………………………（页码）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（10）对应评分细则提供相关证明资料……………………………………………（页码）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（11）投标人认为需要提供的与本项目有关的其他文件和说明…………………（页码）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（11）投标人资料真实性承诺书……………………………………………………（页码）</w:t>
      </w:r>
    </w:p>
    <w:p>
      <w:pPr>
        <w:shd w:val="clear" w:color="auto" w:fill="FFFFFF"/>
        <w:snapToGrid w:val="0"/>
        <w:spacing w:line="360" w:lineRule="auto"/>
        <w:jc w:val="left"/>
        <w:rPr>
          <w:rFonts w:hint="eastAsia" w:ascii="宋体" w:hAnsi="宋体" w:cs="宋体"/>
          <w:color w:val="000000"/>
          <w:sz w:val="24"/>
          <w:szCs w:val="21"/>
        </w:rPr>
      </w:pPr>
      <w:r>
        <w:rPr>
          <w:rFonts w:hint="eastAsia" w:ascii="宋体" w:hAnsi="宋体" w:cs="宋体"/>
          <w:color w:val="000000"/>
          <w:sz w:val="24"/>
          <w:szCs w:val="21"/>
        </w:rPr>
        <w:t>注：以上目录是编制投标技术文件的基本格式要求，各投标人可根据自身情况进一步细化。</w:t>
      </w:r>
    </w:p>
    <w:p>
      <w:pPr>
        <w:spacing w:line="360" w:lineRule="auto"/>
        <w:jc w:val="center"/>
        <w:outlineLvl w:val="1"/>
        <w:rPr>
          <w:rFonts w:ascii="宋体" w:hAnsi="宋体" w:cs="宋体"/>
          <w:b/>
          <w:kern w:val="0"/>
          <w:sz w:val="32"/>
          <w:szCs w:val="32"/>
        </w:rPr>
      </w:pPr>
      <w:r>
        <w:rPr>
          <w:rFonts w:hint="eastAsia" w:ascii="宋体" w:hAnsi="宋体" w:cs="宋体"/>
          <w:color w:val="000000"/>
          <w:sz w:val="24"/>
        </w:rPr>
        <w:br w:type="page"/>
      </w:r>
      <w:bookmarkEnd w:id="39"/>
      <w:r>
        <w:rPr>
          <w:rFonts w:hint="eastAsia" w:ascii="宋体" w:hAnsi="宋体" w:cs="宋体"/>
          <w:b/>
          <w:kern w:val="0"/>
          <w:sz w:val="32"/>
          <w:szCs w:val="32"/>
        </w:rPr>
        <w:t>一、评分对应表</w:t>
      </w:r>
    </w:p>
    <w:p>
      <w:pPr>
        <w:spacing w:line="360" w:lineRule="auto"/>
        <w:ind w:firstLine="361" w:firstLineChars="150"/>
        <w:jc w:val="left"/>
        <w:rPr>
          <w:rFonts w:ascii="宋体" w:hAnsi="宋体" w:cs="宋体"/>
          <w:b/>
          <w:kern w:val="0"/>
          <w:sz w:val="24"/>
        </w:rPr>
      </w:pPr>
      <w:r>
        <w:rPr>
          <w:rFonts w:hint="eastAsia" w:ascii="宋体" w:hAnsi="宋体" w:cs="宋体"/>
          <w:b/>
          <w:kern w:val="0"/>
          <w:sz w:val="24"/>
        </w:rPr>
        <w:t xml:space="preserve">                                   </w:t>
      </w:r>
    </w:p>
    <w:p>
      <w:pPr>
        <w:autoSpaceDE w:val="0"/>
        <w:autoSpaceDN w:val="0"/>
        <w:adjustRightInd w:val="0"/>
        <w:spacing w:line="360" w:lineRule="auto"/>
        <w:ind w:firstLine="479" w:firstLineChars="199"/>
        <w:rPr>
          <w:rFonts w:ascii="宋体" w:hAnsi="宋体" w:cs="宋体"/>
          <w:b/>
          <w:kern w:val="0"/>
          <w:sz w:val="24"/>
        </w:rPr>
      </w:pPr>
      <w:r>
        <w:rPr>
          <w:rFonts w:hint="eastAsia" w:ascii="宋体" w:hAnsi="宋体" w:cs="宋体"/>
          <w:b/>
          <w:kern w:val="0"/>
          <w:sz w:val="24"/>
        </w:rPr>
        <w:t xml:space="preserve">项目编号：                    </w:t>
      </w:r>
      <w:r>
        <w:rPr>
          <w:rFonts w:hint="eastAsia" w:ascii="宋体" w:hAnsi="宋体" w:cs="宋体"/>
          <w:b/>
          <w:kern w:val="0"/>
          <w:sz w:val="24"/>
          <w:lang w:eastAsia="zh-CN"/>
        </w:rPr>
        <w:t>标段</w:t>
      </w:r>
      <w:r>
        <w:rPr>
          <w:rFonts w:hint="eastAsia" w:ascii="宋体" w:hAnsi="宋体" w:cs="宋体"/>
          <w:b/>
          <w:kern w:val="0"/>
          <w:sz w:val="24"/>
        </w:rPr>
        <w:t xml:space="preserve">：  </w:t>
      </w:r>
      <w:r>
        <w:rPr>
          <w:rFonts w:hint="eastAsia" w:ascii="宋体" w:hAnsi="宋体" w:cs="宋体"/>
          <w:color w:val="000000"/>
          <w:sz w:val="24"/>
          <w:u w:val="single"/>
        </w:rPr>
        <w:t xml:space="preserve">   </w:t>
      </w:r>
    </w:p>
    <w:tbl>
      <w:tblPr>
        <w:tblStyle w:val="18"/>
        <w:tblW w:w="8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827"/>
        <w:gridCol w:w="2615"/>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rPr>
                <w:rFonts w:ascii="Calibri" w:hAnsi="Calibri" w:cs="宋体"/>
                <w:b/>
                <w:bCs/>
                <w:sz w:val="24"/>
                <w:szCs w:val="24"/>
              </w:rPr>
            </w:pPr>
            <w:r>
              <w:rPr>
                <w:rFonts w:hint="eastAsia" w:ascii="宋体" w:hAnsi="宋体" w:eastAsia="宋体" w:cs="宋体"/>
                <w:b/>
                <w:bCs/>
                <w:sz w:val="24"/>
                <w:szCs w:val="24"/>
              </w:rPr>
              <w:t>序号</w:t>
            </w:r>
          </w:p>
        </w:tc>
        <w:tc>
          <w:tcPr>
            <w:tcW w:w="182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rPr>
                <w:rFonts w:ascii="Calibri" w:hAnsi="Calibri" w:cs="宋体"/>
                <w:b/>
                <w:bCs/>
                <w:sz w:val="24"/>
                <w:szCs w:val="24"/>
              </w:rPr>
            </w:pPr>
            <w:r>
              <w:rPr>
                <w:rFonts w:hint="eastAsia" w:ascii="宋体" w:hAnsi="宋体" w:eastAsia="宋体" w:cs="宋体"/>
                <w:b/>
                <w:bCs/>
                <w:sz w:val="24"/>
                <w:szCs w:val="24"/>
              </w:rPr>
              <w:t>评审内容</w:t>
            </w:r>
          </w:p>
        </w:tc>
        <w:tc>
          <w:tcPr>
            <w:tcW w:w="261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b/>
                <w:bCs/>
                <w:sz w:val="24"/>
                <w:szCs w:val="24"/>
              </w:rPr>
            </w:pPr>
            <w:r>
              <w:rPr>
                <w:rFonts w:hint="eastAsia" w:ascii="宋体" w:hAnsi="宋体" w:eastAsia="宋体" w:cs="宋体"/>
                <w:b/>
                <w:bCs/>
                <w:sz w:val="24"/>
                <w:szCs w:val="24"/>
              </w:rPr>
              <w:t>评分标准</w:t>
            </w:r>
          </w:p>
        </w:tc>
        <w:tc>
          <w:tcPr>
            <w:tcW w:w="270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b/>
                <w:bCs/>
                <w:sz w:val="24"/>
                <w:szCs w:val="24"/>
              </w:rPr>
            </w:pPr>
            <w:r>
              <w:rPr>
                <w:rFonts w:hint="eastAsia" w:ascii="宋体" w:hAnsi="宋体" w:eastAsia="宋体" w:cs="宋体"/>
                <w:b/>
                <w:bCs/>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b/>
                <w:bCs/>
                <w:sz w:val="24"/>
                <w:szCs w:val="24"/>
              </w:rPr>
            </w:pPr>
            <w:r>
              <w:rPr>
                <w:rFonts w:hint="eastAsia" w:ascii="宋体" w:hAnsi="宋体" w:eastAsia="宋体" w:cs="宋体"/>
                <w:b/>
                <w:bCs/>
                <w:sz w:val="24"/>
                <w:szCs w:val="24"/>
              </w:rPr>
              <w:t>一</w:t>
            </w:r>
          </w:p>
        </w:tc>
        <w:tc>
          <w:tcPr>
            <w:tcW w:w="182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rPr>
                <w:rFonts w:ascii="Calibri" w:hAnsi="Calibri" w:cs="宋体"/>
                <w:b/>
                <w:bCs/>
                <w:sz w:val="24"/>
                <w:szCs w:val="24"/>
              </w:rPr>
            </w:pPr>
            <w:r>
              <w:rPr>
                <w:rFonts w:hint="eastAsia" w:ascii="宋体" w:hAnsi="宋体" w:eastAsia="宋体" w:cs="宋体"/>
                <w:b/>
                <w:bCs/>
                <w:sz w:val="24"/>
                <w:szCs w:val="24"/>
              </w:rPr>
              <w:t>技术分</w:t>
            </w:r>
          </w:p>
        </w:tc>
        <w:tc>
          <w:tcPr>
            <w:tcW w:w="261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482"/>
              <w:jc w:val="center"/>
              <w:rPr>
                <w:rFonts w:ascii="Calibri" w:hAnsi="Calibri" w:cs="宋体"/>
                <w:b/>
                <w:bCs/>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1</w:t>
            </w: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615"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sz w:val="24"/>
              </w:rPr>
            </w:pPr>
            <w:r>
              <w:rPr>
                <w:rFonts w:hint="eastAsia" w:ascii="宋体" w:hAnsi="宋体" w:cs="宋体"/>
                <w:bCs/>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2</w:t>
            </w: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61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宋体" w:hAnsi="宋体" w:cs="宋体"/>
                <w:kern w:val="0"/>
                <w:sz w:val="24"/>
              </w:rPr>
            </w:pPr>
          </w:p>
        </w:tc>
        <w:tc>
          <w:tcPr>
            <w:tcW w:w="27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sz w:val="24"/>
              </w:rPr>
            </w:pP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2" w:hRule="atLeast"/>
          <w:jc w:val="center"/>
        </w:trPr>
        <w:tc>
          <w:tcPr>
            <w:tcW w:w="11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w:t>
            </w:r>
          </w:p>
        </w:tc>
        <w:tc>
          <w:tcPr>
            <w:tcW w:w="18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ind w:left="55" w:leftChars="26"/>
              <w:jc w:val="center"/>
              <w:rPr>
                <w:rFonts w:ascii="宋体" w:hAnsi="宋体" w:cs="宋体"/>
                <w:kern w:val="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r>
              <w:rPr>
                <w:rFonts w:hint="eastAsia" w:ascii="宋体" w:hAnsi="宋体" w:cs="宋体"/>
                <w:b/>
                <w:sz w:val="24"/>
              </w:rPr>
              <w:t>二</w:t>
            </w:r>
          </w:p>
        </w:tc>
        <w:tc>
          <w:tcPr>
            <w:tcW w:w="18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r>
              <w:rPr>
                <w:rFonts w:hint="eastAsia" w:ascii="宋体" w:hAnsi="宋体" w:cs="宋体"/>
                <w:b/>
                <w:sz w:val="24"/>
              </w:rPr>
              <w:t>商务分</w:t>
            </w:r>
          </w:p>
        </w:tc>
        <w:tc>
          <w:tcPr>
            <w:tcW w:w="261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b/>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sz w:val="24"/>
                <w:szCs w:val="24"/>
              </w:rPr>
            </w:pPr>
            <w:r>
              <w:rPr>
                <w:rFonts w:hint="eastAsia" w:ascii="Calibri" w:hAnsi="Calibri"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11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Calibri" w:hAnsi="Calibri" w:cs="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r>
    </w:tbl>
    <w:p>
      <w:pPr>
        <w:snapToGrid w:val="0"/>
        <w:spacing w:before="50" w:after="50" w:line="360" w:lineRule="auto"/>
        <w:ind w:firstLine="600" w:firstLineChars="250"/>
        <w:rPr>
          <w:rFonts w:ascii="宋体" w:hAnsi="宋体" w:cs="宋体"/>
          <w:sz w:val="24"/>
        </w:rPr>
      </w:pPr>
      <w:r>
        <w:rPr>
          <w:rFonts w:hint="eastAsia" w:ascii="宋体" w:hAnsi="宋体" w:cs="宋体"/>
          <w:sz w:val="24"/>
        </w:rPr>
        <w:t>注：评分对应表主要用于作为专家评分的一个参考及查阅依据。</w:t>
      </w:r>
    </w:p>
    <w:p>
      <w:pPr>
        <w:snapToGrid w:val="0"/>
        <w:spacing w:before="50" w:after="50" w:line="360" w:lineRule="auto"/>
        <w:rPr>
          <w:rFonts w:ascii="宋体" w:hAnsi="宋体" w:cs="宋体"/>
          <w:sz w:val="24"/>
        </w:rPr>
      </w:pPr>
    </w:p>
    <w:p>
      <w:pPr>
        <w:pStyle w:val="11"/>
        <w:snapToGrid w:val="0"/>
        <w:spacing w:line="360" w:lineRule="auto"/>
        <w:ind w:firstLine="480" w:firstLineChars="200"/>
        <w:jc w:val="center"/>
        <w:outlineLvl w:val="2"/>
        <w:rPr>
          <w:rFonts w:hint="eastAsia" w:ascii="宋体" w:hAnsi="宋体" w:eastAsia="宋体" w:cs="宋体"/>
          <w:color w:val="000000"/>
          <w:sz w:val="24"/>
          <w:lang w:val="en-US" w:eastAsia="zh-CN"/>
        </w:rPr>
      </w:pPr>
    </w:p>
    <w:p>
      <w:pPr>
        <w:pStyle w:val="11"/>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1"/>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1"/>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1"/>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1"/>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1"/>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1"/>
        <w:snapToGrid w:val="0"/>
        <w:spacing w:line="360" w:lineRule="auto"/>
        <w:ind w:firstLine="480" w:firstLineChars="200"/>
        <w:jc w:val="center"/>
        <w:outlineLvl w:val="2"/>
        <w:rPr>
          <w:rFonts w:hint="eastAsia" w:ascii="宋体" w:hAnsi="宋体" w:eastAsia="宋体" w:cs="宋体"/>
          <w:color w:val="000000"/>
          <w:sz w:val="24"/>
          <w:lang w:eastAsia="zh-CN"/>
        </w:rPr>
      </w:pPr>
    </w:p>
    <w:p>
      <w:pPr>
        <w:spacing w:line="360" w:lineRule="auto"/>
        <w:jc w:val="center"/>
        <w:outlineLvl w:val="1"/>
        <w:rPr>
          <w:rFonts w:ascii="宋体" w:hAnsi="宋体" w:cs="宋体"/>
          <w:b/>
          <w:kern w:val="0"/>
          <w:sz w:val="32"/>
          <w:szCs w:val="32"/>
        </w:rPr>
      </w:pPr>
      <w:r>
        <w:rPr>
          <w:rFonts w:hint="eastAsia" w:ascii="宋体" w:hAnsi="宋体" w:cs="宋体"/>
          <w:b/>
          <w:kern w:val="0"/>
          <w:sz w:val="32"/>
          <w:szCs w:val="32"/>
        </w:rPr>
        <w:t>二、项目技术规范和服务要求实质性内容响应表</w:t>
      </w:r>
    </w:p>
    <w:p>
      <w:pPr>
        <w:autoSpaceDE w:val="0"/>
        <w:autoSpaceDN w:val="0"/>
        <w:adjustRightInd w:val="0"/>
        <w:spacing w:line="360" w:lineRule="auto"/>
        <w:ind w:firstLine="361" w:firstLineChars="150"/>
        <w:rPr>
          <w:rFonts w:ascii="宋体" w:hAnsi="宋体" w:cs="宋体"/>
          <w:b/>
          <w:kern w:val="0"/>
          <w:sz w:val="24"/>
        </w:rPr>
      </w:pPr>
      <w:r>
        <w:rPr>
          <w:rFonts w:hint="eastAsia" w:ascii="宋体" w:hAnsi="宋体" w:cs="宋体"/>
          <w:b/>
          <w:kern w:val="0"/>
          <w:sz w:val="24"/>
        </w:rPr>
        <w:t xml:space="preserve">项目编号：                          </w:t>
      </w:r>
      <w:r>
        <w:rPr>
          <w:rFonts w:hint="eastAsia" w:ascii="宋体" w:hAnsi="宋体" w:cs="宋体"/>
          <w:b/>
          <w:kern w:val="0"/>
          <w:sz w:val="24"/>
          <w:lang w:eastAsia="zh-CN"/>
        </w:rPr>
        <w:t>标段</w:t>
      </w:r>
      <w:r>
        <w:rPr>
          <w:rFonts w:hint="eastAsia" w:ascii="宋体" w:hAnsi="宋体" w:cs="宋体"/>
          <w:b/>
          <w:kern w:val="0"/>
          <w:sz w:val="24"/>
        </w:rPr>
        <w:t>：</w:t>
      </w:r>
    </w:p>
    <w:tbl>
      <w:tblPr>
        <w:tblStyle w:val="18"/>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cs="宋体"/>
                <w:b/>
                <w:sz w:val="24"/>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2</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3</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4</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5</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r>
    </w:tbl>
    <w:p>
      <w:pPr>
        <w:adjustRightInd w:val="0"/>
        <w:snapToGrid w:val="0"/>
        <w:spacing w:line="360" w:lineRule="auto"/>
        <w:rPr>
          <w:rFonts w:ascii="宋体" w:hAnsi="宋体" w:cs="宋体"/>
          <w:kern w:val="0"/>
          <w:sz w:val="24"/>
        </w:rPr>
      </w:pPr>
      <w:r>
        <w:rPr>
          <w:rFonts w:hint="eastAsia" w:ascii="宋体" w:hAnsi="宋体" w:cs="宋体"/>
          <w:kern w:val="0"/>
          <w:sz w:val="24"/>
        </w:rPr>
        <w:t>填表说明：</w:t>
      </w:r>
    </w:p>
    <w:p>
      <w:pPr>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“实质性条款”详见“第三部分</w:t>
      </w:r>
      <w:r>
        <w:rPr>
          <w:rFonts w:hint="eastAsia" w:ascii="宋体" w:hAnsi="宋体" w:cs="宋体"/>
          <w:color w:val="000000"/>
          <w:sz w:val="24"/>
        </w:rPr>
        <w:t>项目技术规范和服务要求</w:t>
      </w:r>
      <w:r>
        <w:rPr>
          <w:rFonts w:hint="eastAsia" w:ascii="宋体" w:hAnsi="宋体" w:cs="宋体"/>
          <w:kern w:val="0"/>
          <w:sz w:val="24"/>
          <w:lang w:val="zh-CN"/>
        </w:rPr>
        <w:t>”中带“</w:t>
      </w:r>
      <w:r>
        <w:rPr>
          <w:rFonts w:hint="eastAsia" w:ascii="宋体" w:hAnsi="宋体" w:cs="宋体"/>
          <w:b/>
          <w:bCs/>
          <w:color w:val="000000"/>
          <w:kern w:val="0"/>
          <w:sz w:val="24"/>
        </w:rPr>
        <w:t>●</w:t>
      </w:r>
      <w:r>
        <w:rPr>
          <w:rFonts w:hint="eastAsia" w:ascii="宋体" w:hAnsi="宋体" w:cs="宋体"/>
          <w:kern w:val="0"/>
          <w:sz w:val="24"/>
          <w:lang w:val="zh-CN"/>
        </w:rPr>
        <w:t>”条款，本表中所列条款仅供参考；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zh-CN"/>
        </w:rPr>
        <w:t>2、</w:t>
      </w:r>
      <w:r>
        <w:rPr>
          <w:rFonts w:hint="eastAsia" w:ascii="宋体" w:hAnsi="宋体" w:cs="宋体"/>
          <w:kern w:val="0"/>
          <w:sz w:val="24"/>
        </w:rPr>
        <w:t>投标人应根据投标承诺或说明、对照招标文件要求在“满足情况”栏注明“满足”或“不满足”；</w:t>
      </w:r>
    </w:p>
    <w:p>
      <w:pPr>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本项目“第三部分</w:t>
      </w:r>
      <w:r>
        <w:rPr>
          <w:rFonts w:hint="eastAsia" w:ascii="宋体" w:hAnsi="宋体" w:cs="宋体"/>
          <w:color w:val="000000"/>
          <w:sz w:val="24"/>
        </w:rPr>
        <w:t>项目技术规范和服务要求</w:t>
      </w:r>
      <w:r>
        <w:rPr>
          <w:rFonts w:hint="eastAsia" w:ascii="宋体" w:hAnsi="宋体" w:cs="宋体"/>
          <w:kern w:val="0"/>
          <w:sz w:val="24"/>
          <w:lang w:val="zh-CN"/>
        </w:rPr>
        <w:t>”中所有带“</w:t>
      </w:r>
      <w:r>
        <w:rPr>
          <w:rFonts w:hint="eastAsia" w:ascii="宋体" w:hAnsi="宋体" w:cs="宋体"/>
          <w:b/>
          <w:bCs/>
          <w:color w:val="000000"/>
          <w:kern w:val="0"/>
          <w:sz w:val="24"/>
        </w:rPr>
        <w:t>●</w:t>
      </w:r>
      <w:r>
        <w:rPr>
          <w:rFonts w:hint="eastAsia" w:ascii="宋体" w:hAnsi="宋体" w:cs="宋体"/>
          <w:kern w:val="0"/>
          <w:sz w:val="24"/>
          <w:lang w:val="zh-CN"/>
        </w:rPr>
        <w:t>”条款，投标人必须作出实质性响应，如有任意一条未响应或不满足或未按要求提供证明材料(如要求提供证明材料的，在本表后附上，复印件加盖公章)，将被视为无效。</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投标人（公章）：     </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法定代表人</w:t>
      </w:r>
      <w:r>
        <w:rPr>
          <w:rFonts w:hint="eastAsia" w:ascii="宋体" w:hAnsi="宋体" w:cs="宋体"/>
          <w:color w:val="000000"/>
          <w:kern w:val="0"/>
          <w:sz w:val="24"/>
          <w:lang w:val="zh-CN"/>
        </w:rPr>
        <w:t>或公司负责人</w:t>
      </w:r>
      <w:r>
        <w:rPr>
          <w:rFonts w:hint="eastAsia" w:ascii="宋体" w:hAnsi="宋体" w:cs="宋体"/>
          <w:kern w:val="0"/>
          <w:sz w:val="24"/>
          <w:lang w:val="zh-CN"/>
        </w:rPr>
        <w:t>（</w:t>
      </w:r>
      <w:r>
        <w:rPr>
          <w:rFonts w:hint="eastAsia" w:ascii="宋体" w:hAnsi="宋体" w:cs="宋体"/>
          <w:color w:val="000000"/>
          <w:kern w:val="0"/>
          <w:sz w:val="24"/>
        </w:rPr>
        <w:t>签字或盖章</w:t>
      </w:r>
      <w:r>
        <w:rPr>
          <w:rFonts w:hint="eastAsia" w:ascii="宋体" w:hAnsi="宋体" w:cs="宋体"/>
          <w:kern w:val="0"/>
          <w:sz w:val="24"/>
          <w:lang w:val="zh-CN"/>
        </w:rPr>
        <w:t xml:space="preserve">）：     </w:t>
      </w:r>
    </w:p>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日期：20  年  月  日</w:t>
      </w:r>
    </w:p>
    <w:p>
      <w:pPr>
        <w:pStyle w:val="11"/>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三</w:t>
      </w:r>
      <w:r>
        <w:rPr>
          <w:rFonts w:hint="eastAsia" w:ascii="宋体" w:hAnsi="宋体" w:eastAsia="宋体" w:cs="宋体"/>
          <w:b/>
          <w:color w:val="000000"/>
          <w:sz w:val="32"/>
          <w:szCs w:val="32"/>
          <w:lang w:val="zh-CN"/>
        </w:rPr>
        <w:t>、法定代表人或公司负责人授权委托书</w:t>
      </w:r>
    </w:p>
    <w:p>
      <w:pPr>
        <w:shd w:val="clear" w:color="auto" w:fill="FFFFFF"/>
        <w:snapToGrid w:val="0"/>
        <w:spacing w:line="360" w:lineRule="auto"/>
        <w:rPr>
          <w:rFonts w:hint="eastAsia" w:ascii="宋体" w:hAnsi="宋体" w:eastAsia="宋体" w:cs="宋体"/>
          <w:color w:val="0000FF"/>
          <w:sz w:val="24"/>
          <w:lang w:eastAsia="zh-CN"/>
        </w:rPr>
      </w:pPr>
      <w:r>
        <w:rPr>
          <w:rFonts w:hint="eastAsia" w:ascii="宋体" w:hAnsi="宋体" w:cs="宋体"/>
          <w:color w:val="0000FF"/>
          <w:sz w:val="24"/>
          <w:lang w:eastAsia="zh-CN"/>
        </w:rPr>
        <w:t>杭州市余杭区瓶窑镇华兴社区居委会：</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浙江中际工程项目管理有限公司</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olor w:val="000000"/>
          <w:sz w:val="24"/>
          <w:u w:val="single"/>
          <w:lang w:eastAsia="zh-CN"/>
        </w:rPr>
        <w:t>瓶窑华兴社区垃圾集置点（收集点）采购</w:t>
      </w:r>
      <w:r>
        <w:rPr>
          <w:rFonts w:hint="eastAsia" w:ascii="宋体" w:hAnsi="宋体" w:cs="宋体"/>
          <w:color w:val="000000"/>
          <w:sz w:val="24"/>
        </w:rPr>
        <w:t>(编号：</w:t>
      </w:r>
      <w:r>
        <w:rPr>
          <w:rFonts w:hint="eastAsia" w:ascii="宋体" w:hAnsi="宋体" w:cs="宋体"/>
          <w:color w:val="000000"/>
          <w:sz w:val="24"/>
          <w:lang w:eastAsia="zh-CN"/>
        </w:rPr>
        <w:t>ZJDL-2021-其他001</w:t>
      </w:r>
      <w:r>
        <w:rPr>
          <w:rFonts w:hint="eastAsia" w:ascii="宋体" w:hAnsi="宋体" w:cs="宋体"/>
          <w:color w:val="000000"/>
          <w:sz w:val="24"/>
        </w:rPr>
        <w:t>，</w:t>
      </w:r>
      <w:r>
        <w:rPr>
          <w:rFonts w:hint="eastAsia" w:ascii="宋体" w:hAnsi="宋体" w:cs="宋体"/>
          <w:b/>
          <w:kern w:val="0"/>
          <w:sz w:val="24"/>
          <w:lang w:eastAsia="zh-CN"/>
        </w:rPr>
        <w:t>标段</w:t>
      </w:r>
      <w:r>
        <w:rPr>
          <w:rFonts w:hint="eastAsia" w:ascii="宋体" w:hAnsi="宋体" w:cs="宋体"/>
          <w:b/>
          <w:kern w:val="0"/>
          <w:sz w:val="24"/>
        </w:rPr>
        <w:t xml:space="preserve">：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法定代表人或公司负责人(签字或盖章)：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eastAsia="zh-CN"/>
        </w:rPr>
      </w:pPr>
    </w:p>
    <w:p>
      <w:pPr>
        <w:pStyle w:val="10"/>
        <w:spacing w:line="360" w:lineRule="auto"/>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四</w:t>
      </w:r>
      <w:r>
        <w:rPr>
          <w:rFonts w:hint="eastAsia" w:ascii="宋体" w:hAnsi="宋体" w:eastAsia="宋体" w:cs="宋体"/>
          <w:b/>
          <w:color w:val="000000"/>
          <w:sz w:val="32"/>
          <w:szCs w:val="32"/>
          <w:lang w:val="zh-CN"/>
        </w:rPr>
        <w:t>、法定代表人或公司负责人及授权代表人的身份证 (复印件加盖公章) （如</w:t>
      </w:r>
      <w:r>
        <w:rPr>
          <w:rFonts w:hint="eastAsia" w:ascii="宋体" w:hAnsi="宋体" w:eastAsia="宋体" w:cs="宋体"/>
          <w:b/>
          <w:color w:val="000000"/>
          <w:sz w:val="32"/>
          <w:szCs w:val="32"/>
          <w:lang w:val="zh-CN" w:eastAsia="zh-CN"/>
        </w:rPr>
        <w:t>无</w:t>
      </w:r>
      <w:r>
        <w:rPr>
          <w:rFonts w:hint="eastAsia" w:ascii="宋体" w:hAnsi="宋体" w:eastAsia="宋体" w:cs="宋体"/>
          <w:b/>
          <w:color w:val="000000"/>
          <w:sz w:val="32"/>
          <w:szCs w:val="32"/>
          <w:lang w:val="zh-CN"/>
        </w:rPr>
        <w:t>授权</w:t>
      </w:r>
      <w:r>
        <w:rPr>
          <w:rFonts w:hint="eastAsia" w:ascii="宋体" w:hAnsi="宋体" w:eastAsia="宋体" w:cs="宋体"/>
          <w:b/>
          <w:color w:val="000000"/>
          <w:sz w:val="32"/>
          <w:szCs w:val="32"/>
          <w:lang w:val="zh-CN" w:eastAsia="zh-CN"/>
        </w:rPr>
        <w:t>，</w:t>
      </w:r>
      <w:r>
        <w:rPr>
          <w:rFonts w:hint="eastAsia" w:ascii="宋体" w:hAnsi="宋体" w:eastAsia="宋体" w:cs="宋体"/>
          <w:b/>
          <w:color w:val="000000"/>
          <w:sz w:val="32"/>
          <w:szCs w:val="32"/>
          <w:lang w:val="zh-CN"/>
        </w:rPr>
        <w:t>则只需提供法定代表人或公司负责人身份证复印件加盖公章）</w:t>
      </w: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pStyle w:val="10"/>
        <w:spacing w:line="360" w:lineRule="auto"/>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五</w:t>
      </w:r>
      <w:r>
        <w:rPr>
          <w:rFonts w:hint="eastAsia" w:ascii="宋体" w:hAnsi="宋体" w:eastAsia="宋体" w:cs="宋体"/>
          <w:b/>
          <w:color w:val="000000"/>
          <w:sz w:val="32"/>
          <w:szCs w:val="32"/>
          <w:lang w:val="zh-CN"/>
        </w:rPr>
        <w:t>、授权代理人本单位社保证明(复印件加盖公章)（如法定代表人或公司负责人对投标文件签字的无需提供）</w:t>
      </w:r>
    </w:p>
    <w:p>
      <w:pPr>
        <w:shd w:val="clear" w:color="auto" w:fill="FFFFFF"/>
        <w:snapToGrid w:val="0"/>
        <w:spacing w:line="360" w:lineRule="auto"/>
        <w:ind w:right="480"/>
        <w:rPr>
          <w:rFonts w:hint="eastAsia" w:ascii="宋体" w:hAnsi="宋体" w:cs="宋体"/>
          <w:b/>
          <w:bCs/>
          <w:color w:val="000000"/>
          <w:kern w:val="0"/>
          <w:sz w:val="24"/>
          <w:lang w:val="zh-CN"/>
        </w:rPr>
      </w:pPr>
    </w:p>
    <w:p>
      <w:pPr>
        <w:spacing w:line="360" w:lineRule="auto"/>
        <w:jc w:val="center"/>
        <w:outlineLvl w:val="1"/>
        <w:rPr>
          <w:rFonts w:ascii="宋体" w:hAnsi="宋体" w:cs="宋体"/>
          <w:b/>
          <w:color w:val="000000"/>
          <w:sz w:val="32"/>
          <w:szCs w:val="32"/>
          <w:lang w:val="zh-CN"/>
        </w:rPr>
      </w:pPr>
      <w:r>
        <w:rPr>
          <w:rFonts w:hint="eastAsia" w:ascii="宋体" w:hAnsi="宋体" w:cs="宋体"/>
          <w:b/>
          <w:color w:val="000000"/>
          <w:sz w:val="32"/>
          <w:szCs w:val="32"/>
          <w:lang w:val="zh-CN"/>
        </w:rPr>
        <w:t>六、无失信行为承诺书</w:t>
      </w:r>
    </w:p>
    <w:p>
      <w:pPr>
        <w:spacing w:line="360" w:lineRule="auto"/>
        <w:ind w:firstLine="1596" w:firstLineChars="700"/>
        <w:rPr>
          <w:rFonts w:ascii="宋体" w:hAnsi="宋体" w:cs="宋体"/>
          <w:spacing w:val="-6"/>
          <w:sz w:val="24"/>
        </w:rPr>
      </w:pPr>
    </w:p>
    <w:p>
      <w:pPr>
        <w:shd w:val="clear" w:color="auto" w:fill="FFFFFF"/>
        <w:snapToGrid w:val="0"/>
        <w:spacing w:line="360" w:lineRule="auto"/>
        <w:rPr>
          <w:rFonts w:hint="eastAsia" w:ascii="宋体" w:hAnsi="宋体" w:eastAsia="宋体" w:cs="宋体"/>
          <w:color w:val="0000FF"/>
          <w:sz w:val="24"/>
          <w:lang w:eastAsia="zh-CN"/>
        </w:rPr>
      </w:pPr>
      <w:r>
        <w:rPr>
          <w:rFonts w:hint="eastAsia" w:ascii="宋体" w:hAnsi="宋体" w:cs="宋体"/>
          <w:color w:val="0000FF"/>
          <w:sz w:val="24"/>
          <w:lang w:eastAsia="zh-CN"/>
        </w:rPr>
        <w:t>杭州市余杭区瓶窑镇华兴社区居委会：</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浙江中际工程项目管理有限公司</w:t>
      </w:r>
      <w:r>
        <w:rPr>
          <w:rFonts w:hint="eastAsia" w:ascii="宋体" w:hAnsi="宋体" w:cs="宋体"/>
          <w:color w:val="000000"/>
          <w:sz w:val="24"/>
        </w:rPr>
        <w:t>：</w:t>
      </w:r>
    </w:p>
    <w:p>
      <w:pPr>
        <w:spacing w:line="360" w:lineRule="auto"/>
        <w:ind w:firstLine="584"/>
        <w:rPr>
          <w:rFonts w:ascii="宋体" w:hAnsi="宋体" w:cs="宋体"/>
          <w:spacing w:val="-6"/>
          <w:sz w:val="24"/>
        </w:rPr>
      </w:pPr>
      <w:r>
        <w:rPr>
          <w:rFonts w:hint="eastAsia" w:ascii="宋体" w:hAnsi="宋体" w:cs="宋体"/>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按本项目预算价2%赔付招标人等有关处理，给采购人造成损失的，依法承担赔偿责任，并愿意承担相关法律责任。</w:t>
      </w:r>
    </w:p>
    <w:p>
      <w:pPr>
        <w:spacing w:line="360" w:lineRule="auto"/>
        <w:ind w:firstLine="585"/>
        <w:rPr>
          <w:rFonts w:ascii="宋体" w:hAnsi="宋体" w:cs="宋体"/>
          <w:spacing w:val="-6"/>
          <w:sz w:val="24"/>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法定代表人或公司负责人（签字或盖章）：</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投标人（公章）： </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w:t>
      </w:r>
    </w:p>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日期：20  年  月   日  </w:t>
      </w:r>
    </w:p>
    <w:p>
      <w:pPr>
        <w:pStyle w:val="10"/>
        <w:snapToGrid w:val="0"/>
        <w:spacing w:line="360" w:lineRule="auto"/>
        <w:rPr>
          <w:rFonts w:hint="eastAsia" w:ascii="宋体" w:hAnsi="宋体" w:eastAsia="宋体"/>
          <w:color w:val="000000"/>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七</w:t>
      </w:r>
      <w:r>
        <w:rPr>
          <w:rFonts w:hint="eastAsia" w:ascii="宋体" w:hAnsi="宋体" w:eastAsia="宋体" w:cs="宋体"/>
          <w:b/>
          <w:color w:val="000000"/>
          <w:sz w:val="32"/>
          <w:szCs w:val="32"/>
          <w:lang w:val="zh-CN"/>
        </w:rPr>
        <w:t>、本项目完整的实施方案：</w:t>
      </w:r>
    </w:p>
    <w:p>
      <w:pPr>
        <w:autoSpaceDE w:val="0"/>
        <w:autoSpaceDN w:val="0"/>
        <w:snapToGrid w:val="0"/>
        <w:spacing w:line="360" w:lineRule="auto"/>
        <w:ind w:firstLine="482" w:firstLineChars="200"/>
        <w:rPr>
          <w:rFonts w:hint="eastAsia" w:ascii="宋体" w:hAnsi="宋体"/>
          <w:b/>
          <w:color w:val="000000"/>
          <w:kern w:val="0"/>
          <w:sz w:val="24"/>
          <w:lang w:val="zh-CN"/>
        </w:rPr>
      </w:pPr>
      <w:r>
        <w:rPr>
          <w:rFonts w:hint="eastAsia" w:ascii="宋体" w:hAnsi="宋体"/>
          <w:b/>
          <w:color w:val="000000"/>
          <w:kern w:val="0"/>
          <w:sz w:val="24"/>
          <w:lang w:val="zh-CN"/>
        </w:rPr>
        <w:t>详细阐述体系架构和实现思路，包括</w:t>
      </w:r>
      <w:r>
        <w:rPr>
          <w:rFonts w:ascii="宋体" w:hAnsi="宋体"/>
          <w:b/>
          <w:color w:val="000000"/>
          <w:kern w:val="0"/>
          <w:sz w:val="24"/>
          <w:lang w:val="zh-CN"/>
        </w:rPr>
        <w:t>(但不限于)</w:t>
      </w:r>
      <w:r>
        <w:rPr>
          <w:rFonts w:hint="eastAsia" w:ascii="宋体" w:hAnsi="宋体"/>
          <w:b/>
          <w:color w:val="000000"/>
          <w:kern w:val="0"/>
          <w:sz w:val="24"/>
          <w:lang w:val="zh-CN"/>
        </w:rPr>
        <w:t>本</w:t>
      </w:r>
      <w:r>
        <w:rPr>
          <w:rFonts w:hint="eastAsia" w:ascii="宋体" w:hAnsi="宋体"/>
          <w:b/>
          <w:color w:val="000000"/>
          <w:sz w:val="24"/>
        </w:rPr>
        <w:t>项目技术规范和服务要求</w:t>
      </w:r>
      <w:r>
        <w:rPr>
          <w:rFonts w:hint="eastAsia" w:ascii="宋体" w:hAnsi="宋体"/>
          <w:b/>
          <w:color w:val="000000"/>
          <w:kern w:val="0"/>
          <w:sz w:val="24"/>
          <w:lang w:val="zh-CN"/>
        </w:rPr>
        <w:t>及评标办法要求的内容。</w:t>
      </w:r>
    </w:p>
    <w:p>
      <w:pPr>
        <w:pStyle w:val="4"/>
        <w:numPr>
          <w:ilvl w:val="0"/>
          <w:numId w:val="0"/>
        </w:numPr>
        <w:tabs>
          <w:tab w:val="left" w:pos="706"/>
          <w:tab w:val="left" w:pos="1110"/>
        </w:tabs>
        <w:rPr>
          <w:rFonts w:hint="eastAsia"/>
          <w:lang w:val="zh-CN"/>
        </w:rPr>
      </w:pPr>
    </w:p>
    <w:p>
      <w:pPr>
        <w:spacing w:line="360" w:lineRule="auto"/>
        <w:rPr>
          <w:rFonts w:hint="eastAsia"/>
          <w:lang w:val="zh-CN"/>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color w:val="000000"/>
          <w:sz w:val="24"/>
        </w:rPr>
      </w:pPr>
    </w:p>
    <w:p>
      <w:pPr>
        <w:snapToGrid w:val="0"/>
        <w:spacing w:line="360" w:lineRule="auto"/>
        <w:jc w:val="both"/>
        <w:outlineLvl w:val="2"/>
        <w:rPr>
          <w:rFonts w:hint="eastAsia" w:ascii="宋体" w:hAnsi="宋体"/>
          <w:b/>
          <w:color w:val="000000"/>
          <w:sz w:val="32"/>
          <w:szCs w:val="32"/>
        </w:rPr>
      </w:pPr>
    </w:p>
    <w:p>
      <w:pPr>
        <w:snapToGrid w:val="0"/>
        <w:spacing w:line="360" w:lineRule="auto"/>
        <w:ind w:left="570"/>
        <w:jc w:val="center"/>
        <w:outlineLvl w:val="2"/>
        <w:rPr>
          <w:rFonts w:hint="eastAsia" w:ascii="宋体" w:hAnsi="宋体" w:cs="宋体"/>
          <w:b/>
          <w:color w:val="000000"/>
          <w:sz w:val="32"/>
          <w:szCs w:val="32"/>
          <w:lang w:val="zh-CN"/>
        </w:rPr>
      </w:pPr>
      <w:r>
        <w:rPr>
          <w:rFonts w:hint="eastAsia" w:ascii="宋体" w:hAnsi="宋体"/>
          <w:b/>
          <w:color w:val="000000"/>
          <w:sz w:val="32"/>
          <w:szCs w:val="32"/>
        </w:rPr>
        <w:t>八、</w:t>
      </w:r>
      <w:r>
        <w:rPr>
          <w:rFonts w:hint="eastAsia" w:ascii="宋体" w:hAnsi="宋体" w:cs="宋体"/>
          <w:b/>
          <w:color w:val="000000"/>
          <w:sz w:val="32"/>
          <w:szCs w:val="32"/>
          <w:lang w:val="zh-CN"/>
        </w:rPr>
        <w:t>技术偏离表</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 xml:space="preserve">招标编号：                            </w:t>
      </w:r>
      <w:r>
        <w:rPr>
          <w:rFonts w:hint="eastAsia" w:ascii="宋体" w:hAnsi="宋体" w:cs="宋体"/>
          <w:b/>
          <w:kern w:val="0"/>
          <w:sz w:val="24"/>
          <w:lang w:eastAsia="zh-CN"/>
        </w:rPr>
        <w:t>标段</w:t>
      </w:r>
      <w:r>
        <w:rPr>
          <w:rFonts w:hint="eastAsia" w:ascii="宋体" w:hAnsi="宋体" w:cs="宋体"/>
          <w:b/>
          <w:kern w:val="0"/>
          <w:sz w:val="24"/>
        </w:rPr>
        <w:t>：</w:t>
      </w:r>
      <w:r>
        <w:rPr>
          <w:rFonts w:hint="eastAsia" w:ascii="宋体" w:hAnsi="宋体" w:cs="宋体"/>
          <w:color w:val="000000"/>
          <w:sz w:val="24"/>
        </w:rPr>
        <w:t xml:space="preserve">                                            </w:t>
      </w:r>
    </w:p>
    <w:tbl>
      <w:tblPr>
        <w:tblStyle w:val="18"/>
        <w:tblW w:w="86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68"/>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招标文件要求</w:t>
            </w:r>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招标文件响应</w:t>
            </w:r>
          </w:p>
        </w:tc>
        <w:tc>
          <w:tcPr>
            <w:tcW w:w="19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偏离</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6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6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76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r>
    </w:tbl>
    <w:p>
      <w:pPr>
        <w:snapToGrid w:val="0"/>
        <w:spacing w:line="360" w:lineRule="auto"/>
        <w:ind w:firstLine="211" w:firstLineChars="100"/>
        <w:rPr>
          <w:rFonts w:hint="eastAsia" w:ascii="宋体" w:hAnsi="宋体"/>
          <w:b/>
          <w:bCs/>
          <w:color w:val="000000"/>
        </w:rPr>
      </w:pPr>
    </w:p>
    <w:p>
      <w:pPr>
        <w:snapToGrid w:val="0"/>
        <w:spacing w:line="360" w:lineRule="auto"/>
        <w:ind w:firstLine="211" w:firstLineChars="100"/>
        <w:rPr>
          <w:rFonts w:ascii="宋体" w:hAnsi="宋体"/>
          <w:b/>
          <w:bCs/>
          <w:color w:val="000000"/>
        </w:rPr>
      </w:pPr>
      <w:r>
        <w:rPr>
          <w:rFonts w:ascii="宋体" w:hAnsi="宋体"/>
          <w:b/>
          <w:bCs/>
          <w:color w:val="000000"/>
        </w:rPr>
        <w:t>注</w:t>
      </w:r>
      <w:r>
        <w:rPr>
          <w:rFonts w:hint="eastAsia" w:ascii="宋体" w:hAnsi="宋体"/>
          <w:b/>
          <w:bCs/>
          <w:color w:val="000000"/>
        </w:rPr>
        <w:t>：本项目“第三部分项目技术规范和服务要求”未作要求的无需提供本表。</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w:t>
      </w:r>
    </w:p>
    <w:p>
      <w:pPr>
        <w:autoSpaceDE w:val="0"/>
        <w:autoSpaceDN w:val="0"/>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11"/>
        <w:snapToGrid w:val="0"/>
        <w:spacing w:line="360" w:lineRule="auto"/>
        <w:jc w:val="both"/>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九</w:t>
      </w:r>
      <w:r>
        <w:rPr>
          <w:rFonts w:hint="eastAsia" w:ascii="宋体" w:hAnsi="宋体" w:eastAsia="宋体" w:cs="宋体"/>
          <w:b/>
          <w:color w:val="000000"/>
          <w:sz w:val="32"/>
          <w:szCs w:val="32"/>
          <w:lang w:val="zh-CN"/>
        </w:rPr>
        <w:t>、对应评分细则提供相关证明资料</w:t>
      </w:r>
      <w:r>
        <w:rPr>
          <w:rFonts w:hint="eastAsia" w:ascii="宋体" w:hAnsi="宋体" w:eastAsia="宋体" w:cs="宋体"/>
          <w:b/>
          <w:color w:val="000000"/>
          <w:sz w:val="32"/>
          <w:szCs w:val="32"/>
          <w:lang w:val="zh-CN" w:eastAsia="zh-CN"/>
        </w:rPr>
        <w:t>（如为</w:t>
      </w:r>
      <w:r>
        <w:rPr>
          <w:rFonts w:hint="eastAsia" w:ascii="宋体" w:hAnsi="宋体" w:eastAsia="宋体" w:cs="宋体"/>
          <w:b/>
          <w:color w:val="000000"/>
          <w:sz w:val="32"/>
          <w:szCs w:val="32"/>
          <w:lang w:val="zh-CN"/>
        </w:rPr>
        <w:t>复印件的需加盖公章</w:t>
      </w:r>
      <w:r>
        <w:rPr>
          <w:rFonts w:hint="eastAsia" w:ascii="宋体" w:hAnsi="宋体" w:eastAsia="宋体" w:cs="宋体"/>
          <w:b/>
          <w:color w:val="000000"/>
          <w:sz w:val="32"/>
          <w:szCs w:val="32"/>
          <w:lang w:val="zh-CN" w:eastAsia="zh-CN"/>
        </w:rPr>
        <w:t>）</w:t>
      </w:r>
    </w:p>
    <w:p>
      <w:pPr>
        <w:shd w:val="clear" w:color="auto" w:fill="FFFFFF"/>
        <w:snapToGrid w:val="0"/>
        <w:spacing w:line="360" w:lineRule="auto"/>
        <w:jc w:val="center"/>
        <w:rPr>
          <w:rFonts w:hint="eastAsia" w:ascii="宋体" w:hAnsi="宋体" w:cs="宋体"/>
          <w:b/>
          <w:bCs/>
          <w:color w:val="000000"/>
          <w:sz w:val="24"/>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r>
        <w:rPr>
          <w:rFonts w:hint="eastAsia" w:ascii="宋体" w:hAnsi="宋体" w:eastAsia="宋体" w:cs="宋体"/>
          <w:b/>
          <w:color w:val="000000"/>
          <w:sz w:val="32"/>
          <w:szCs w:val="32"/>
          <w:lang w:val="zh-CN" w:eastAsia="zh-CN"/>
        </w:rPr>
        <w:t>十</w:t>
      </w:r>
      <w:r>
        <w:rPr>
          <w:rFonts w:hint="eastAsia" w:ascii="宋体" w:hAnsi="宋体" w:eastAsia="宋体" w:cs="宋体"/>
          <w:b/>
          <w:color w:val="000000"/>
          <w:sz w:val="32"/>
          <w:szCs w:val="32"/>
          <w:lang w:val="zh-CN"/>
        </w:rPr>
        <w:t>、投标人认为需要提供的与本项目有关的其他文件和说明</w:t>
      </w:r>
      <w:r>
        <w:rPr>
          <w:rFonts w:hint="eastAsia" w:ascii="宋体" w:hAnsi="宋体" w:eastAsia="宋体" w:cs="宋体"/>
          <w:b/>
          <w:color w:val="000000"/>
          <w:sz w:val="32"/>
          <w:szCs w:val="32"/>
          <w:lang w:val="zh-CN" w:eastAsia="zh-CN"/>
        </w:rPr>
        <w:t>（如为</w:t>
      </w:r>
      <w:r>
        <w:rPr>
          <w:rFonts w:hint="eastAsia" w:ascii="宋体" w:hAnsi="宋体" w:eastAsia="宋体" w:cs="宋体"/>
          <w:b/>
          <w:color w:val="000000"/>
          <w:sz w:val="32"/>
          <w:szCs w:val="32"/>
          <w:lang w:val="zh-CN"/>
        </w:rPr>
        <w:t>复印件的需加盖公章</w:t>
      </w:r>
      <w:r>
        <w:rPr>
          <w:rFonts w:hint="eastAsia" w:ascii="宋体" w:hAnsi="宋体" w:eastAsia="宋体" w:cs="宋体"/>
          <w:b/>
          <w:color w:val="000000"/>
          <w:sz w:val="32"/>
          <w:szCs w:val="32"/>
          <w:lang w:val="zh-CN" w:eastAsia="zh-CN"/>
        </w:rPr>
        <w:t>）</w:t>
      </w: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11"/>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both"/>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r>
        <w:rPr>
          <w:rFonts w:hint="eastAsia" w:ascii="宋体" w:hAnsi="宋体" w:cs="宋体"/>
          <w:b/>
          <w:color w:val="000000"/>
          <w:sz w:val="32"/>
          <w:szCs w:val="32"/>
          <w:lang w:val="zh-CN"/>
        </w:rPr>
        <w:t>十一、投标人资料真实性承诺书</w:t>
      </w:r>
    </w:p>
    <w:p>
      <w:pPr>
        <w:spacing w:line="360" w:lineRule="auto"/>
        <w:ind w:firstLine="480" w:firstLineChars="200"/>
        <w:rPr>
          <w:rFonts w:hint="eastAsia" w:ascii="宋体" w:hAnsi="宋体" w:cs="宋体"/>
          <w:sz w:val="24"/>
        </w:rPr>
      </w:pPr>
    </w:p>
    <w:p>
      <w:pPr>
        <w:spacing w:line="360" w:lineRule="auto"/>
        <w:rPr>
          <w:rFonts w:hint="eastAsia" w:ascii="宋体" w:hAnsi="宋体" w:eastAsia="宋体" w:cs="宋体"/>
          <w:b/>
          <w:bCs/>
          <w:color w:val="0000FF"/>
          <w:sz w:val="24"/>
          <w:lang w:eastAsia="zh-CN"/>
        </w:rPr>
      </w:pPr>
      <w:r>
        <w:rPr>
          <w:rFonts w:hint="eastAsia" w:ascii="宋体" w:hAnsi="宋体" w:cs="宋体"/>
          <w:b/>
          <w:bCs/>
          <w:color w:val="0000FF"/>
          <w:sz w:val="24"/>
        </w:rPr>
        <w:t>致:</w:t>
      </w:r>
      <w:r>
        <w:rPr>
          <w:rFonts w:hint="eastAsia"/>
          <w:color w:val="0000FF"/>
        </w:rPr>
        <w:t xml:space="preserve"> </w:t>
      </w:r>
      <w:r>
        <w:rPr>
          <w:rFonts w:hint="eastAsia" w:ascii="宋体" w:hAnsi="宋体" w:cs="宋体"/>
          <w:b/>
          <w:bCs/>
          <w:color w:val="0000FF"/>
          <w:sz w:val="24"/>
          <w:lang w:eastAsia="zh-CN"/>
        </w:rPr>
        <w:t>杭州市余杭区瓶窑镇华兴社区居委会</w:t>
      </w:r>
    </w:p>
    <w:p>
      <w:pPr>
        <w:spacing w:line="360" w:lineRule="auto"/>
        <w:rPr>
          <w:rFonts w:hint="eastAsia" w:ascii="宋体" w:hAnsi="宋体" w:cs="宋体"/>
          <w:b/>
          <w:bCs/>
          <w:sz w:val="24"/>
        </w:rPr>
      </w:pPr>
      <w:r>
        <w:rPr>
          <w:rFonts w:hint="eastAsia" w:ascii="宋体" w:hAnsi="宋体" w:cs="宋体"/>
          <w:b/>
          <w:bCs/>
          <w:sz w:val="24"/>
          <w:lang w:eastAsia="zh-CN"/>
        </w:rPr>
        <w:t>浙江中际工程项目管理有限公司</w:t>
      </w:r>
      <w:r>
        <w:rPr>
          <w:rFonts w:hint="eastAsia" w:ascii="宋体" w:hAnsi="宋体" w:cs="宋体"/>
          <w:b/>
          <w:bCs/>
          <w:sz w:val="24"/>
        </w:rPr>
        <w:t>：</w:t>
      </w:r>
    </w:p>
    <w:p>
      <w:pPr>
        <w:spacing w:line="360" w:lineRule="auto"/>
        <w:ind w:firstLine="482" w:firstLineChars="200"/>
        <w:rPr>
          <w:rFonts w:hint="eastAsia" w:ascii="宋体" w:hAnsi="宋体" w:cs="宋体"/>
          <w:b/>
          <w:bCs/>
          <w:sz w:val="24"/>
        </w:rPr>
      </w:pPr>
    </w:p>
    <w:p>
      <w:pPr>
        <w:spacing w:line="360" w:lineRule="auto"/>
        <w:ind w:firstLine="482" w:firstLineChars="200"/>
        <w:rPr>
          <w:rFonts w:hint="eastAsia" w:ascii="宋体" w:hAnsi="宋体" w:cs="宋体"/>
          <w:b/>
          <w:bCs/>
          <w:sz w:val="24"/>
        </w:rPr>
      </w:pPr>
      <w:r>
        <w:rPr>
          <w:rFonts w:hint="eastAsia" w:ascii="宋体" w:hAnsi="宋体" w:cs="宋体"/>
          <w:b/>
          <w:bCs/>
          <w:sz w:val="24"/>
        </w:rPr>
        <w:t>本人以法定代表人（</w:t>
      </w:r>
      <w:r>
        <w:rPr>
          <w:rFonts w:hint="eastAsia" w:ascii="宋体" w:hAnsi="宋体" w:cs="宋体"/>
          <w:color w:val="000000"/>
          <w:kern w:val="0"/>
          <w:sz w:val="24"/>
          <w:lang w:val="zh-CN"/>
        </w:rPr>
        <w:t>公司负责人</w:t>
      </w:r>
      <w:r>
        <w:rPr>
          <w:rFonts w:hint="eastAsia" w:ascii="宋体" w:hAnsi="宋体" w:cs="宋体"/>
          <w:b/>
          <w:bCs/>
          <w:sz w:val="24"/>
        </w:rPr>
        <w:t>）的资格，郑重承诺:本单位此次参加投标所提交的所有资料都是真实的。如有虚假，本单位愿意接受采购人作出的取消投标、中标资格决定，同时愿意接受行政主管部门依法作出的罚款，列入不良行为记录名单，在一至三年内禁止参加政府采购活动，有违法所得的，并处没收违法所得，情节严重的，由工商行政管理机关吊销营业执照；构成犯罪的，依法追究刑事责任等全部处罚。</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投标人:(盖章)</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法定代表人或公司负责人: (签字)</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                                           日期:20  年   月    日</w:t>
      </w:r>
    </w:p>
    <w:p>
      <w:pPr>
        <w:spacing w:line="360" w:lineRule="auto"/>
        <w:ind w:firstLine="480" w:firstLineChars="200"/>
        <w:rPr>
          <w:rFonts w:hint="eastAsia" w:ascii="宋体" w:hAnsi="宋体" w:cs="宋体"/>
          <w:sz w:val="24"/>
        </w:rPr>
      </w:pPr>
    </w:p>
    <w:p>
      <w:pPr>
        <w:pStyle w:val="10"/>
        <w:spacing w:line="360" w:lineRule="auto"/>
        <w:rPr>
          <w:rFonts w:hint="eastAsia" w:ascii="宋体" w:hAnsi="宋体" w:eastAsia="宋体" w:cs="宋体"/>
          <w:b/>
          <w:color w:val="000000"/>
          <w:sz w:val="32"/>
          <w:szCs w:val="32"/>
          <w:lang w:val="en-US" w:eastAsia="zh-CN"/>
        </w:rPr>
      </w:pPr>
    </w:p>
    <w:p>
      <w:pPr>
        <w:pageBreakBefore/>
        <w:shd w:val="clear" w:color="auto" w:fill="FFFFFF"/>
        <w:snapToGrid w:val="0"/>
        <w:spacing w:line="360" w:lineRule="auto"/>
        <w:outlineLvl w:val="2"/>
        <w:rPr>
          <w:rFonts w:hint="eastAsia" w:ascii="宋体" w:hAnsi="宋体" w:cs="宋体"/>
          <w:b/>
          <w:bCs/>
          <w:color w:val="000000"/>
          <w:sz w:val="32"/>
          <w:szCs w:val="32"/>
        </w:rPr>
      </w:pPr>
      <w:r>
        <w:rPr>
          <w:rFonts w:hint="eastAsia" w:ascii="宋体" w:hAnsi="宋体" w:cs="宋体"/>
          <w:b/>
          <w:bCs/>
          <w:color w:val="000000"/>
          <w:sz w:val="32"/>
          <w:szCs w:val="32"/>
        </w:rPr>
        <w:t>投标文件封面                             （正/副本）</w:t>
      </w:r>
    </w:p>
    <w:p>
      <w:pPr>
        <w:shd w:val="clear" w:color="auto" w:fill="FFFFFF"/>
        <w:tabs>
          <w:tab w:val="left" w:pos="4500"/>
        </w:tabs>
        <w:snapToGrid w:val="0"/>
        <w:spacing w:line="360" w:lineRule="auto"/>
        <w:jc w:val="center"/>
        <w:textAlignment w:val="bottom"/>
        <w:rPr>
          <w:rFonts w:hint="eastAsia" w:ascii="宋体" w:hAnsi="宋体" w:eastAsia="宋体" w:cs="宋体"/>
          <w:b/>
          <w:bCs/>
          <w:color w:val="000000"/>
          <w:spacing w:val="-17"/>
          <w:sz w:val="52"/>
          <w:szCs w:val="52"/>
          <w:lang w:eastAsia="zh-CN"/>
        </w:rPr>
      </w:pPr>
      <w:r>
        <w:rPr>
          <w:rFonts w:hint="eastAsia" w:ascii="宋体" w:hAnsi="宋体" w:cs="宋体"/>
          <w:b/>
          <w:bCs/>
          <w:color w:val="000000"/>
          <w:spacing w:val="-17"/>
          <w:sz w:val="52"/>
          <w:szCs w:val="52"/>
          <w:lang w:eastAsia="zh-CN"/>
        </w:rPr>
        <w:t>瓶窑华兴社区垃圾集置点（收集点）采购</w:t>
      </w:r>
    </w:p>
    <w:p>
      <w:pPr>
        <w:shd w:val="clear" w:color="auto" w:fill="FFFFFF"/>
        <w:snapToGrid w:val="0"/>
        <w:spacing w:line="360" w:lineRule="auto"/>
        <w:rPr>
          <w:rFonts w:hint="eastAsia" w:ascii="宋体" w:hAnsi="宋体" w:cs="宋体"/>
          <w:b/>
          <w:bCs/>
          <w:color w:val="000000"/>
          <w:sz w:val="44"/>
          <w:szCs w:val="44"/>
        </w:rPr>
      </w:pPr>
      <w:r>
        <w:rPr>
          <w:rFonts w:hint="eastAsia" w:ascii="宋体" w:hAnsi="宋体" w:cs="宋体"/>
          <w:b/>
          <w:bCs/>
          <w:color w:val="000000"/>
          <w:sz w:val="44"/>
          <w:szCs w:val="44"/>
        </w:rPr>
        <w:t xml:space="preserve"> </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rPr>
        <w:t xml:space="preserve">  （报价文件/商务技术文件）</w:t>
      </w:r>
    </w:p>
    <w:p>
      <w:pPr>
        <w:shd w:val="clear" w:color="auto" w:fill="FFFFFF"/>
        <w:snapToGrid w:val="0"/>
        <w:spacing w:line="360" w:lineRule="auto"/>
        <w:ind w:firstLine="1325" w:firstLineChars="300"/>
        <w:rPr>
          <w:rFonts w:hint="eastAsia" w:ascii="宋体" w:hAnsi="宋体" w:eastAsia="宋体" w:cs="宋体"/>
          <w:b/>
          <w:bCs/>
          <w:color w:val="000000"/>
          <w:sz w:val="44"/>
          <w:szCs w:val="44"/>
          <w:lang w:eastAsia="zh-CN"/>
        </w:rPr>
      </w:pPr>
      <w:r>
        <w:rPr>
          <w:rFonts w:hint="eastAsia" w:ascii="宋体" w:hAnsi="宋体" w:cs="宋体"/>
          <w:b/>
          <w:bCs/>
          <w:color w:val="000000"/>
          <w:sz w:val="44"/>
          <w:szCs w:val="44"/>
        </w:rPr>
        <w:t>项目编号：</w:t>
      </w:r>
      <w:r>
        <w:rPr>
          <w:rFonts w:hint="eastAsia" w:ascii="宋体" w:hAnsi="宋体" w:cs="宋体"/>
          <w:b/>
          <w:bCs/>
          <w:color w:val="000000"/>
          <w:sz w:val="44"/>
          <w:szCs w:val="44"/>
          <w:lang w:eastAsia="zh-CN"/>
        </w:rPr>
        <w:t>ZJDL-2021-其他001</w:t>
      </w:r>
    </w:p>
    <w:p>
      <w:pPr>
        <w:pStyle w:val="10"/>
        <w:ind w:firstLine="630"/>
        <w:jc w:val="center"/>
        <w:rPr>
          <w:rFonts w:hint="eastAsia"/>
          <w:lang w:val="en-US" w:eastAsia="zh-CN"/>
        </w:rPr>
      </w:pPr>
      <w:r>
        <w:rPr>
          <w:rFonts w:hint="eastAsia"/>
          <w:lang w:val="en-US" w:eastAsia="zh-CN"/>
        </w:rPr>
        <w:t>（</w:t>
      </w:r>
      <w:r>
        <w:rPr>
          <w:rFonts w:hint="eastAsia" w:ascii="宋体" w:hAnsi="宋体" w:cs="宋体"/>
          <w:b/>
          <w:kern w:val="0"/>
          <w:sz w:val="24"/>
          <w:lang w:eastAsia="zh-CN"/>
        </w:rPr>
        <w:t>标段</w:t>
      </w:r>
      <w:r>
        <w:rPr>
          <w:rFonts w:hint="eastAsia" w:ascii="宋体" w:hAnsi="宋体" w:cs="宋体"/>
          <w:b/>
          <w:kern w:val="0"/>
          <w:sz w:val="24"/>
        </w:rPr>
        <w:t>：</w:t>
      </w:r>
      <w:r>
        <w:rPr>
          <w:rFonts w:hint="eastAsia" w:ascii="宋体" w:hAnsi="宋体" w:cs="宋体"/>
          <w:b/>
          <w:kern w:val="0"/>
          <w:sz w:val="24"/>
          <w:lang w:eastAsia="zh-CN"/>
        </w:rPr>
        <w:t xml:space="preserve">          </w:t>
      </w:r>
      <w:r>
        <w:rPr>
          <w:rFonts w:hint="eastAsia"/>
          <w:lang w:val="en-US" w:eastAsia="zh-CN"/>
        </w:rPr>
        <w:t>）</w:t>
      </w:r>
    </w:p>
    <w:bookmarkEnd w:id="28"/>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件</w:t>
      </w:r>
    </w:p>
    <w:p>
      <w:pPr>
        <w:snapToGrid w:val="0"/>
        <w:spacing w:line="360" w:lineRule="auto"/>
        <w:jc w:val="center"/>
        <w:rPr>
          <w:rFonts w:hint="eastAsia" w:ascii="宋体" w:hAnsi="宋体" w:cs="宋体"/>
          <w:color w:val="000000"/>
          <w:sz w:val="24"/>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36"/>
          <w:szCs w:val="36"/>
        </w:rPr>
        <w:t>年   月   日</w:t>
      </w:r>
    </w:p>
    <w:p>
      <w:pPr>
        <w:pStyle w:val="10"/>
        <w:spacing w:line="360" w:lineRule="auto"/>
        <w:jc w:val="center"/>
        <w:rPr>
          <w:rFonts w:hint="eastAsia" w:ascii="宋体" w:hAnsi="宋体" w:eastAsia="宋体"/>
          <w:b/>
          <w:color w:val="000000"/>
          <w:sz w:val="44"/>
          <w:szCs w:val="44"/>
          <w:lang w:eastAsia="zh-CN"/>
        </w:rPr>
      </w:pPr>
    </w:p>
    <w:p/>
    <w:sectPr>
      <w:headerReference r:id="rId3" w:type="default"/>
      <w:footerReference r:id="rId4" w:type="default"/>
      <w:pgSz w:w="11907" w:h="16840"/>
      <w:pgMar w:top="1304" w:right="1565" w:bottom="1247" w:left="13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Times New Roman" w:hAnsi="Times New Roman" w:eastAsia="宋体" w:cs="Times New Roman"/>
        <w:kern w:val="0"/>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026795" cy="147955"/>
              <wp:effectExtent l="0" t="0" r="0" b="0"/>
              <wp:wrapNone/>
              <wp:docPr id="1" name="文本框 1"/>
              <wp:cNvGraphicFramePr/>
              <a:graphic xmlns:a="http://schemas.openxmlformats.org/drawingml/2006/main">
                <a:graphicData uri="http://schemas.microsoft.com/office/word/2010/wordprocessingShape">
                  <wps:wsp>
                    <wps:cNvSpPr/>
                    <wps:spPr>
                      <a:xfrm>
                        <a:off x="0" y="0"/>
                        <a:ext cx="1026795" cy="147955"/>
                      </a:xfrm>
                      <a:prstGeom prst="rect">
                        <a:avLst/>
                      </a:prstGeom>
                      <a:noFill/>
                      <a:ln>
                        <a:noFill/>
                      </a:ln>
                    </wps:spPr>
                    <wps:txbx>
                      <w:txbxContent>
                        <w:p>
                          <w:pPr>
                            <w:snapToGrid w:val="0"/>
                            <w:jc w:val="cente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r>
                            <w:rPr>
                              <w:rFonts w:hint="eastAsia"/>
                              <w:sz w:val="18"/>
                            </w:rPr>
                            <w:t xml:space="preserve"> 页</w:t>
                          </w:r>
                        </w:p>
                      </w:txbxContent>
                    </wps:txbx>
                    <wps:bodyPr lIns="0" tIns="0" rIns="0" bIns="0" upright="1"/>
                  </wps:wsp>
                </a:graphicData>
              </a:graphic>
            </wp:anchor>
          </w:drawing>
        </mc:Choice>
        <mc:Fallback>
          <w:pict>
            <v:rect id="文本框 1" o:spid="_x0000_s1026" o:spt="1" style="position:absolute;left:0pt;margin-top:0.05pt;height:11.65pt;width:80.85pt;mso-position-horizontal:center;mso-position-horizontal-relative:margin;z-index:251659264;mso-width-relative:page;mso-height-relative:page;" filled="f" stroked="f" coordsize="21600,21600" o:gfxdata="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7e&#10;APDWAAAABAEAAA8AAAAAAAAAAQAgAAAAIgAAAGRycy9kb3ducmV2LnhtbFBLAQIUABQAAAAIAIdO&#10;4kDsrqZdswEAAGgDAAAOAAAAAAAAAAEAIAAAACUBAABkcnMvZTJvRG9jLnhtbFBLBQYAAAAABgAG&#10;AFkBAABKBQAAAAA=&#10;">
              <v:fill on="f" focussize="0,0"/>
              <v:stroke on="f"/>
              <v:imagedata o:title=""/>
              <o:lock v:ext="edit" aspectratio="f"/>
              <v:textbox inset="0mm,0mm,0mm,0mm">
                <w:txbxContent>
                  <w:p>
                    <w:pPr>
                      <w:snapToGrid w:val="0"/>
                      <w:jc w:val="cente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r>
                      <w:rPr>
                        <w:rFonts w:hint="eastAsia"/>
                        <w:sz w:val="18"/>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619"/>
    <w:multiLevelType w:val="singleLevel"/>
    <w:tmpl w:val="B69CA619"/>
    <w:lvl w:ilvl="0" w:tentative="0">
      <w:start w:val="1"/>
      <w:numFmt w:val="chineseCounting"/>
      <w:suff w:val="nothing"/>
      <w:lvlText w:val="%1、"/>
      <w:lvlJc w:val="left"/>
      <w:rPr>
        <w:rFonts w:hint="eastAsia"/>
      </w:rPr>
    </w:lvl>
  </w:abstractNum>
  <w:abstractNum w:abstractNumId="1">
    <w:nsid w:val="44F23151"/>
    <w:multiLevelType w:val="multilevel"/>
    <w:tmpl w:val="44F23151"/>
    <w:lvl w:ilvl="0" w:tentative="0">
      <w:start w:val="2"/>
      <w:numFmt w:val="japaneseCounting"/>
      <w:lvlText w:val="第%1节"/>
      <w:lvlJc w:val="left"/>
      <w:pPr>
        <w:tabs>
          <w:tab w:val="left" w:pos="1176"/>
        </w:tabs>
        <w:ind w:left="1176" w:hanging="1080"/>
      </w:pPr>
      <w:rPr>
        <w:rFonts w:hint="default"/>
      </w:rPr>
    </w:lvl>
    <w:lvl w:ilvl="1" w:tentative="0">
      <w:start w:val="1"/>
      <w:numFmt w:val="lowerLetter"/>
      <w:lvlText w:val="%2)"/>
      <w:lvlJc w:val="left"/>
      <w:pPr>
        <w:tabs>
          <w:tab w:val="left" w:pos="936"/>
        </w:tabs>
        <w:ind w:left="936" w:hanging="420"/>
      </w:pPr>
    </w:lvl>
    <w:lvl w:ilvl="2" w:tentative="0">
      <w:start w:val="1"/>
      <w:numFmt w:val="lowerRoman"/>
      <w:lvlText w:val="%3."/>
      <w:lvlJc w:val="right"/>
      <w:pPr>
        <w:tabs>
          <w:tab w:val="left" w:pos="1356"/>
        </w:tabs>
        <w:ind w:left="1356" w:hanging="420"/>
      </w:pPr>
    </w:lvl>
    <w:lvl w:ilvl="3" w:tentative="0">
      <w:start w:val="1"/>
      <w:numFmt w:val="decimal"/>
      <w:lvlText w:val="%4."/>
      <w:lvlJc w:val="left"/>
      <w:pPr>
        <w:tabs>
          <w:tab w:val="left" w:pos="1776"/>
        </w:tabs>
        <w:ind w:left="1776" w:hanging="420"/>
      </w:pPr>
    </w:lvl>
    <w:lvl w:ilvl="4" w:tentative="0">
      <w:start w:val="1"/>
      <w:numFmt w:val="lowerLetter"/>
      <w:lvlText w:val="%5)"/>
      <w:lvlJc w:val="left"/>
      <w:pPr>
        <w:tabs>
          <w:tab w:val="left" w:pos="2196"/>
        </w:tabs>
        <w:ind w:left="2196" w:hanging="420"/>
      </w:pPr>
    </w:lvl>
    <w:lvl w:ilvl="5" w:tentative="0">
      <w:start w:val="1"/>
      <w:numFmt w:val="lowerRoman"/>
      <w:lvlText w:val="%6."/>
      <w:lvlJc w:val="right"/>
      <w:pPr>
        <w:tabs>
          <w:tab w:val="left" w:pos="2616"/>
        </w:tabs>
        <w:ind w:left="2616" w:hanging="420"/>
      </w:pPr>
    </w:lvl>
    <w:lvl w:ilvl="6" w:tentative="0">
      <w:start w:val="1"/>
      <w:numFmt w:val="decimal"/>
      <w:lvlText w:val="%7."/>
      <w:lvlJc w:val="left"/>
      <w:pPr>
        <w:tabs>
          <w:tab w:val="left" w:pos="3036"/>
        </w:tabs>
        <w:ind w:left="3036" w:hanging="420"/>
      </w:pPr>
    </w:lvl>
    <w:lvl w:ilvl="7" w:tentative="0">
      <w:start w:val="1"/>
      <w:numFmt w:val="lowerLetter"/>
      <w:lvlText w:val="%8)"/>
      <w:lvlJc w:val="left"/>
      <w:pPr>
        <w:tabs>
          <w:tab w:val="left" w:pos="3456"/>
        </w:tabs>
        <w:ind w:left="3456" w:hanging="420"/>
      </w:pPr>
    </w:lvl>
    <w:lvl w:ilvl="8" w:tentative="0">
      <w:start w:val="1"/>
      <w:numFmt w:val="lowerRoman"/>
      <w:lvlText w:val="%9."/>
      <w:lvlJc w:val="right"/>
      <w:pPr>
        <w:tabs>
          <w:tab w:val="left" w:pos="3876"/>
        </w:tabs>
        <w:ind w:left="3876" w:hanging="420"/>
      </w:pPr>
    </w:lvl>
  </w:abstractNum>
  <w:abstractNum w:abstractNumId="2">
    <w:nsid w:val="59F84D04"/>
    <w:multiLevelType w:val="singleLevel"/>
    <w:tmpl w:val="59F84D04"/>
    <w:lvl w:ilvl="0" w:tentative="0">
      <w:start w:val="1"/>
      <w:numFmt w:val="chineseCounting"/>
      <w:suff w:val="nothing"/>
      <w:lvlText w:val="%1、"/>
      <w:lvlJc w:val="left"/>
    </w:lvl>
  </w:abstractNum>
  <w:abstractNum w:abstractNumId="3">
    <w:nsid w:val="59FA8BC7"/>
    <w:multiLevelType w:val="singleLevel"/>
    <w:tmpl w:val="59FA8BC7"/>
    <w:lvl w:ilvl="0" w:tentative="0">
      <w:start w:val="6"/>
      <w:numFmt w:val="chineseCounting"/>
      <w:suff w:val="nothing"/>
      <w:lvlText w:val="%1、"/>
      <w:lvlJc w:val="left"/>
    </w:lvl>
  </w:abstractNum>
  <w:abstractNum w:abstractNumId="4">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81082"/>
    <w:rsid w:val="005A7D1A"/>
    <w:rsid w:val="00FD11AE"/>
    <w:rsid w:val="02C11647"/>
    <w:rsid w:val="02C76D63"/>
    <w:rsid w:val="032438C0"/>
    <w:rsid w:val="033D4981"/>
    <w:rsid w:val="042D5F89"/>
    <w:rsid w:val="046412AE"/>
    <w:rsid w:val="04F92B05"/>
    <w:rsid w:val="07E95DE5"/>
    <w:rsid w:val="09BA520B"/>
    <w:rsid w:val="09C441B3"/>
    <w:rsid w:val="0B7D193D"/>
    <w:rsid w:val="0F4B68C2"/>
    <w:rsid w:val="0F873FAE"/>
    <w:rsid w:val="10FF145F"/>
    <w:rsid w:val="11076248"/>
    <w:rsid w:val="11102DC7"/>
    <w:rsid w:val="11F406D7"/>
    <w:rsid w:val="13BA5B13"/>
    <w:rsid w:val="13E55D02"/>
    <w:rsid w:val="14131E3F"/>
    <w:rsid w:val="14641311"/>
    <w:rsid w:val="15157BBC"/>
    <w:rsid w:val="15175E2A"/>
    <w:rsid w:val="18AA0807"/>
    <w:rsid w:val="19AC55F3"/>
    <w:rsid w:val="19EA0704"/>
    <w:rsid w:val="1AA049F0"/>
    <w:rsid w:val="1AAA3CB2"/>
    <w:rsid w:val="1C35071F"/>
    <w:rsid w:val="1DBE6235"/>
    <w:rsid w:val="1E8B1F63"/>
    <w:rsid w:val="1F591A34"/>
    <w:rsid w:val="1F9919A7"/>
    <w:rsid w:val="20176FA1"/>
    <w:rsid w:val="20316B37"/>
    <w:rsid w:val="21695A29"/>
    <w:rsid w:val="219A4BA5"/>
    <w:rsid w:val="219C5090"/>
    <w:rsid w:val="22FD45DE"/>
    <w:rsid w:val="231E4506"/>
    <w:rsid w:val="23F835C4"/>
    <w:rsid w:val="241B1F89"/>
    <w:rsid w:val="2434052D"/>
    <w:rsid w:val="2480642E"/>
    <w:rsid w:val="25C26162"/>
    <w:rsid w:val="28C7163D"/>
    <w:rsid w:val="2AB87012"/>
    <w:rsid w:val="2B584A3E"/>
    <w:rsid w:val="2CDE51D1"/>
    <w:rsid w:val="2EE72A63"/>
    <w:rsid w:val="2FEF6FC7"/>
    <w:rsid w:val="31E84461"/>
    <w:rsid w:val="32452FC5"/>
    <w:rsid w:val="348A2544"/>
    <w:rsid w:val="34F16972"/>
    <w:rsid w:val="354C60CF"/>
    <w:rsid w:val="373F701E"/>
    <w:rsid w:val="375A3698"/>
    <w:rsid w:val="377219E8"/>
    <w:rsid w:val="386A626D"/>
    <w:rsid w:val="3BAC23F1"/>
    <w:rsid w:val="3C065DA5"/>
    <w:rsid w:val="3CDB26E7"/>
    <w:rsid w:val="3D311CAB"/>
    <w:rsid w:val="3E0F49DC"/>
    <w:rsid w:val="3FEB53D4"/>
    <w:rsid w:val="40E86F57"/>
    <w:rsid w:val="41364AB9"/>
    <w:rsid w:val="415F7FF6"/>
    <w:rsid w:val="428D68D3"/>
    <w:rsid w:val="43462F53"/>
    <w:rsid w:val="442429C8"/>
    <w:rsid w:val="47F64D77"/>
    <w:rsid w:val="491B7304"/>
    <w:rsid w:val="4C2E63F7"/>
    <w:rsid w:val="4FC904B4"/>
    <w:rsid w:val="50356DAA"/>
    <w:rsid w:val="50C539C1"/>
    <w:rsid w:val="51FC2A94"/>
    <w:rsid w:val="528A1B1A"/>
    <w:rsid w:val="52AD5D16"/>
    <w:rsid w:val="52DB2082"/>
    <w:rsid w:val="559D4FCD"/>
    <w:rsid w:val="573D0CA4"/>
    <w:rsid w:val="57ED61F8"/>
    <w:rsid w:val="590B7FFB"/>
    <w:rsid w:val="5BA51DE1"/>
    <w:rsid w:val="5BBD12C9"/>
    <w:rsid w:val="5CC23D4A"/>
    <w:rsid w:val="5D677D7C"/>
    <w:rsid w:val="5DA55DB8"/>
    <w:rsid w:val="5F285F6B"/>
    <w:rsid w:val="5F7739CC"/>
    <w:rsid w:val="5FCE51A2"/>
    <w:rsid w:val="62332B0A"/>
    <w:rsid w:val="62964F88"/>
    <w:rsid w:val="63F07BF4"/>
    <w:rsid w:val="662804B6"/>
    <w:rsid w:val="67641E9D"/>
    <w:rsid w:val="691A6C10"/>
    <w:rsid w:val="6A846648"/>
    <w:rsid w:val="6A9444F0"/>
    <w:rsid w:val="6B9A2437"/>
    <w:rsid w:val="6DAD1975"/>
    <w:rsid w:val="6EA33E36"/>
    <w:rsid w:val="6EAB420C"/>
    <w:rsid w:val="7098533B"/>
    <w:rsid w:val="70D97E44"/>
    <w:rsid w:val="719024A0"/>
    <w:rsid w:val="72345052"/>
    <w:rsid w:val="72681082"/>
    <w:rsid w:val="74DC75A5"/>
    <w:rsid w:val="7585695B"/>
    <w:rsid w:val="75CB4643"/>
    <w:rsid w:val="765C37FA"/>
    <w:rsid w:val="77A62C2F"/>
    <w:rsid w:val="77B81CA7"/>
    <w:rsid w:val="78225630"/>
    <w:rsid w:val="7B0F14F9"/>
    <w:rsid w:val="7CE71A78"/>
    <w:rsid w:val="7ED41B5E"/>
    <w:rsid w:val="7F3F62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3" w:lineRule="auto"/>
      <w:outlineLvl w:val="1"/>
    </w:pPr>
    <w:rPr>
      <w:rFonts w:ascii="Cambria" w:hAnsi="Cambria"/>
      <w:b/>
      <w:bCs/>
      <w:kern w:val="0"/>
      <w:sz w:val="32"/>
      <w:szCs w:val="32"/>
    </w:rPr>
  </w:style>
  <w:style w:type="paragraph" w:styleId="6">
    <w:name w:val="heading 3"/>
    <w:basedOn w:val="1"/>
    <w:next w:val="1"/>
    <w:qFormat/>
    <w:uiPriority w:val="0"/>
    <w:pPr>
      <w:keepNext/>
      <w:keepLines/>
      <w:widowControl/>
      <w:numPr>
        <w:ilvl w:val="2"/>
        <w:numId w:val="1"/>
      </w:numPr>
      <w:tabs>
        <w:tab w:val="left" w:pos="-839"/>
      </w:tabs>
      <w:spacing w:before="120" w:after="120" w:line="360" w:lineRule="auto"/>
      <w:jc w:val="center"/>
      <w:outlineLvl w:val="2"/>
    </w:pPr>
    <w:rPr>
      <w:rFonts w:ascii="Times New Roman" w:hAnsi="Times New Roman" w:eastAsia="??"/>
      <w:b/>
      <w:kern w:val="0"/>
      <w:sz w:val="32"/>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Normal Indent"/>
    <w:basedOn w:val="1"/>
    <w:next w:val="1"/>
    <w:qFormat/>
    <w:uiPriority w:val="0"/>
    <w:pPr>
      <w:ind w:firstLine="420"/>
    </w:pPr>
    <w:rPr>
      <w:rFonts w:ascii="Times New Roman" w:hAnsi="Times New Roman" w:eastAsia="宋体" w:cs="Times New Roman"/>
      <w:szCs w:val="20"/>
    </w:rPr>
  </w:style>
  <w:style w:type="paragraph" w:styleId="7">
    <w:name w:val="annotation text"/>
    <w:basedOn w:val="1"/>
    <w:unhideWhenUsed/>
    <w:qFormat/>
    <w:uiPriority w:val="0"/>
    <w:pPr>
      <w:jc w:val="left"/>
    </w:pPr>
    <w:rPr>
      <w:kern w:val="0"/>
      <w:sz w:val="20"/>
    </w:rPr>
  </w:style>
  <w:style w:type="paragraph" w:styleId="8">
    <w:name w:val="Body Text"/>
    <w:basedOn w:val="1"/>
    <w:next w:val="9"/>
    <w:qFormat/>
    <w:uiPriority w:val="0"/>
    <w:rPr>
      <w:rFonts w:eastAsia="??"/>
      <w:sz w:val="24"/>
      <w:szCs w:val="28"/>
    </w:rPr>
  </w:style>
  <w:style w:type="paragraph" w:styleId="9">
    <w:name w:val="Body Text First Indent"/>
    <w:basedOn w:val="8"/>
    <w:qFormat/>
    <w:uiPriority w:val="0"/>
    <w:pPr>
      <w:autoSpaceDE w:val="0"/>
      <w:autoSpaceDN w:val="0"/>
      <w:adjustRightInd w:val="0"/>
      <w:spacing w:line="360" w:lineRule="auto"/>
      <w:ind w:firstLine="420"/>
    </w:pPr>
    <w:rPr>
      <w:rFonts w:ascii="宋体" w:hAnsi="Times New Roman" w:eastAsia="宋体"/>
      <w:szCs w:val="20"/>
      <w:lang w:val="zh-CN"/>
    </w:rPr>
  </w:style>
  <w:style w:type="paragraph" w:styleId="10">
    <w:name w:val="Body Text Indent"/>
    <w:basedOn w:val="1"/>
    <w:next w:val="1"/>
    <w:qFormat/>
    <w:uiPriority w:val="0"/>
    <w:pPr>
      <w:ind w:firstLine="645"/>
    </w:pPr>
    <w:rPr>
      <w:kern w:val="0"/>
      <w:sz w:val="28"/>
      <w:szCs w:val="20"/>
    </w:rPr>
  </w:style>
  <w:style w:type="paragraph" w:styleId="11">
    <w:name w:val="Plain Text"/>
    <w:basedOn w:val="1"/>
    <w:next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12">
    <w:name w:val="footer"/>
    <w:basedOn w:val="1"/>
    <w:unhideWhenUsed/>
    <w:qFormat/>
    <w:uiPriority w:val="99"/>
    <w:pPr>
      <w:tabs>
        <w:tab w:val="center" w:pos="4153"/>
        <w:tab w:val="right" w:pos="8306"/>
      </w:tabs>
      <w:snapToGrid w:val="0"/>
      <w:jc w:val="left"/>
    </w:pPr>
    <w:rPr>
      <w:kern w:val="0"/>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widowControl/>
      <w:spacing w:after="100" w:line="276" w:lineRule="auto"/>
      <w:jc w:val="left"/>
    </w:pPr>
    <w:rPr>
      <w:rFonts w:ascii="Calibri" w:hAnsi="Calibri"/>
      <w:kern w:val="0"/>
      <w:sz w:val="22"/>
      <w:szCs w:val="22"/>
    </w:rPr>
  </w:style>
  <w:style w:type="paragraph" w:styleId="15">
    <w:name w:val="Body Text Indent 3"/>
    <w:basedOn w:val="1"/>
    <w:unhideWhenUsed/>
    <w:qFormat/>
    <w:uiPriority w:val="0"/>
    <w:pPr>
      <w:ind w:left="420"/>
    </w:pPr>
    <w:rPr>
      <w:rFonts w:ascii="宋体" w:hAnsi="宋体"/>
      <w:kern w:val="0"/>
      <w:sz w:val="32"/>
      <w:szCs w:val="20"/>
    </w:rPr>
  </w:style>
  <w:style w:type="paragraph" w:styleId="16">
    <w:name w:val="toc 2"/>
    <w:basedOn w:val="1"/>
    <w:next w:val="1"/>
    <w:qFormat/>
    <w:uiPriority w:val="0"/>
    <w:pPr>
      <w:widowControl/>
      <w:spacing w:after="100" w:line="276" w:lineRule="auto"/>
      <w:ind w:left="220"/>
      <w:jc w:val="left"/>
    </w:pPr>
    <w:rPr>
      <w:kern w:val="0"/>
      <w:sz w:val="22"/>
      <w:szCs w:val="22"/>
    </w:rPr>
  </w:style>
  <w:style w:type="paragraph" w:styleId="17">
    <w:name w:val="Title"/>
    <w:basedOn w:val="1"/>
    <w:qFormat/>
    <w:uiPriority w:val="0"/>
    <w:pPr>
      <w:spacing w:before="240" w:after="60"/>
      <w:jc w:val="center"/>
      <w:outlineLvl w:val="0"/>
    </w:pPr>
    <w:rPr>
      <w:rFonts w:ascii="Cambria" w:hAnsi="Cambria"/>
      <w:b/>
      <w:bCs/>
      <w:kern w:val="0"/>
      <w:sz w:val="32"/>
      <w:szCs w:val="32"/>
    </w:rPr>
  </w:style>
  <w:style w:type="table" w:styleId="19">
    <w:name w:val="Table Grid"/>
    <w:basedOn w:val="18"/>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ascii="仿宋_GB2312" w:eastAsia="仿宋_GB2312"/>
      <w:b/>
      <w:sz w:val="32"/>
      <w:szCs w:val="32"/>
    </w:rPr>
  </w:style>
  <w:style w:type="character" w:styleId="22">
    <w:name w:val="Hyperlink"/>
    <w:basedOn w:val="20"/>
    <w:unhideWhenUsed/>
    <w:qFormat/>
    <w:uiPriority w:val="99"/>
    <w:rPr>
      <w:color w:val="0000FF"/>
      <w:u w:val="single"/>
    </w:rPr>
  </w:style>
  <w:style w:type="paragraph" w:customStyle="1" w:styleId="23">
    <w:name w:val="样式1"/>
    <w:basedOn w:val="3"/>
    <w:qFormat/>
    <w:uiPriority w:val="0"/>
    <w:pPr>
      <w:spacing w:line="576" w:lineRule="auto"/>
      <w:jc w:val="center"/>
    </w:pPr>
    <w:rPr>
      <w:rFonts w:ascii="Calibri" w:hAnsi="Calibri" w:eastAsia="黑体"/>
    </w:rPr>
  </w:style>
  <w:style w:type="paragraph" w:customStyle="1" w:styleId="24">
    <w:name w:val="_Style 7"/>
    <w:basedOn w:val="1"/>
    <w:next w:val="1"/>
    <w:qFormat/>
    <w:uiPriority w:val="0"/>
    <w:pPr>
      <w:pBdr>
        <w:top w:val="single" w:color="auto" w:sz="6" w:space="1"/>
      </w:pBdr>
      <w:jc w:val="center"/>
    </w:pPr>
    <w:rPr>
      <w:rFonts w:ascii="Arial"/>
      <w:vanish/>
      <w:kern w:val="0"/>
      <w:sz w:val="16"/>
    </w:rPr>
  </w:style>
  <w:style w:type="paragraph" w:customStyle="1" w:styleId="25">
    <w:name w:val="_Style 8"/>
    <w:basedOn w:val="1"/>
    <w:next w:val="1"/>
    <w:qFormat/>
    <w:uiPriority w:val="0"/>
    <w:pPr>
      <w:pBdr>
        <w:bottom w:val="single" w:color="auto" w:sz="6" w:space="1"/>
      </w:pBdr>
      <w:jc w:val="center"/>
    </w:pPr>
    <w:rPr>
      <w:rFonts w:ascii="Arial"/>
      <w:vanish/>
      <w:kern w:val="0"/>
      <w:sz w:val="16"/>
    </w:rPr>
  </w:style>
  <w:style w:type="paragraph" w:customStyle="1" w:styleId="26">
    <w:name w:val="2"/>
    <w:basedOn w:val="1"/>
    <w:next w:val="1"/>
    <w:qFormat/>
    <w:uiPriority w:val="0"/>
    <w:rPr>
      <w:rFonts w:ascii="Calibri" w:hAnsi="Calibri" w:eastAsia="仿宋_GB2312"/>
      <w:sz w:val="18"/>
      <w:szCs w:val="20"/>
    </w:rPr>
  </w:style>
  <w:style w:type="paragraph" w:customStyle="1" w:styleId="27">
    <w:name w:val="正文2"/>
    <w:basedOn w:val="1"/>
    <w:qFormat/>
    <w:uiPriority w:val="0"/>
    <w:pPr>
      <w:spacing w:before="156" w:line="360" w:lineRule="auto"/>
      <w:ind w:firstLine="510" w:firstLineChars="200"/>
    </w:pPr>
    <w:rPr>
      <w:rFonts w:ascii="Calibri" w:hAnsi="Calibri"/>
      <w:kern w:val="0"/>
      <w:sz w:val="24"/>
      <w:szCs w:val="20"/>
    </w:rPr>
  </w:style>
  <w:style w:type="paragraph" w:customStyle="1" w:styleId="28">
    <w:name w:val="Char Char"/>
    <w:basedOn w:val="1"/>
    <w:qFormat/>
    <w:uiPriority w:val="0"/>
    <w:pPr>
      <w:spacing w:line="360" w:lineRule="auto"/>
    </w:pPr>
    <w:rPr>
      <w:rFonts w:ascii="Tahoma" w:hAnsi="Tahoma"/>
      <w:sz w:val="24"/>
      <w:szCs w:val="20"/>
    </w:rPr>
  </w:style>
  <w:style w:type="paragraph" w:customStyle="1" w:styleId="29">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30">
    <w:name w:val="列出段落1"/>
    <w:basedOn w:val="1"/>
    <w:qFormat/>
    <w:uiPriority w:val="34"/>
    <w:pPr>
      <w:ind w:firstLine="420" w:firstLineChars="200"/>
    </w:pPr>
    <w:rPr>
      <w:rFonts w:ascii="Calibri" w:hAnsi="Calibri" w:cs="Calibri"/>
    </w:rPr>
  </w:style>
  <w:style w:type="paragraph" w:customStyle="1" w:styleId="31">
    <w:name w:val="List Paragraph"/>
    <w:basedOn w:val="1"/>
    <w:qFormat/>
    <w:uiPriority w:val="0"/>
    <w:pPr>
      <w:ind w:firstLine="420" w:firstLineChars="200"/>
    </w:pPr>
    <w:rPr>
      <w:rFonts w:ascii="Calibri" w:hAnsi="Calibri"/>
      <w:sz w:val="21"/>
      <w:szCs w:val="22"/>
    </w:rPr>
  </w:style>
  <w:style w:type="paragraph" w:customStyle="1" w:styleId="32">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29070</Words>
  <Characters>30181</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2018-12-18T12:03:00Z</dcterms:created>
  <dc:creator>就当是你为了我_</dc:creator>
  <cp:lastModifiedBy>狗蛋</cp:lastModifiedBy>
  <dcterms:modified xsi:type="dcterms:W3CDTF">2021-09-30T01:38:10Z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64EC1C60A0DA4262B8B7383E03CC3FD8</vt:lpwstr>
  </property>
</Properties>
</file>