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lang w:eastAsia="zh-CN"/>
        </w:rPr>
      </w:pPr>
      <w:bookmarkStart w:id="0" w:name="_GoBack"/>
      <w:bookmarkEnd w:id="0"/>
    </w:p>
    <w:p>
      <w:pPr>
        <w:pStyle w:val="2"/>
        <w:snapToGrid w:val="0"/>
        <w:spacing w:line="600" w:lineRule="exact"/>
        <w:rPr>
          <w:rFonts w:hint="eastAsia" w:ascii="仿宋" w:hAnsi="仿宋" w:eastAsia="仿宋"/>
          <w:color w:val="000000"/>
          <w:sz w:val="24"/>
          <w:lang w:val="en-US" w:eastAsia="zh-CN"/>
        </w:rPr>
      </w:pPr>
      <w:r>
        <w:rPr>
          <w:rFonts w:hint="eastAsia" w:ascii="仿宋" w:hAnsi="仿宋" w:eastAsia="仿宋"/>
          <w:color w:val="000000"/>
          <w:sz w:val="24"/>
          <w:lang w:val="en-US" w:eastAsia="zh-CN"/>
        </w:rPr>
        <w:t>余杭区低收入农户医疗补充政策性保险方案</w:t>
      </w:r>
    </w:p>
    <w:tbl>
      <w:tblPr>
        <w:tblStyle w:val="6"/>
        <w:tblW w:w="88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801"/>
        <w:gridCol w:w="2"/>
        <w:gridCol w:w="40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8" w:hRule="atLeast"/>
          <w:jc w:val="center"/>
        </w:trPr>
        <w:tc>
          <w:tcPr>
            <w:tcW w:w="8822" w:type="dxa"/>
            <w:gridSpan w:val="3"/>
            <w:tcBorders>
              <w:top w:val="single" w:color="00B0F0" w:sz="8" w:space="0"/>
              <w:left w:val="single" w:color="00B0F0" w:sz="8" w:space="0"/>
              <w:bottom w:val="single" w:color="00B0F0" w:sz="8" w:space="0"/>
              <w:right w:val="single" w:color="00B0F0" w:sz="8" w:space="0"/>
            </w:tcBorders>
            <w:shd w:val="clear" w:color="auto" w:fill="0070C0"/>
            <w:tcMar>
              <w:left w:w="108" w:type="dxa"/>
              <w:right w:w="108" w:type="dxa"/>
            </w:tcMar>
            <w:vAlign w:val="center"/>
          </w:tcPr>
          <w:p>
            <w:pPr>
              <w:snapToGrid w:val="0"/>
              <w:ind w:firstLine="170" w:firstLineChars="71"/>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住院赔付范围增加情况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8" w:hRule="atLeast"/>
          <w:jc w:val="center"/>
        </w:trPr>
        <w:tc>
          <w:tcPr>
            <w:tcW w:w="8822" w:type="dxa"/>
            <w:gridSpan w:val="3"/>
            <w:tcBorders>
              <w:top w:val="nil"/>
              <w:left w:val="single" w:color="00B0F0" w:sz="8" w:space="0"/>
              <w:bottom w:val="single" w:color="00B0F0" w:sz="8" w:space="0"/>
              <w:right w:val="single" w:color="00B0F0" w:sz="8" w:space="0"/>
            </w:tcBorders>
            <w:shd w:val="clear" w:color="auto" w:fill="BDD6EE"/>
            <w:tcMar>
              <w:left w:w="108" w:type="dxa"/>
              <w:right w:w="108" w:type="dxa"/>
            </w:tcMar>
            <w:vAlign w:val="center"/>
          </w:tcPr>
          <w:p>
            <w:pPr>
              <w:snapToGrid w:val="0"/>
              <w:ind w:firstLine="171" w:firstLineChars="71"/>
              <w:jc w:val="center"/>
              <w:rPr>
                <w:rFonts w:hint="eastAsia" w:ascii="仿宋" w:hAnsi="仿宋" w:eastAsia="仿宋" w:cs="Times New Roman"/>
                <w:b/>
                <w:bCs/>
                <w:color w:val="000000"/>
                <w:kern w:val="2"/>
                <w:sz w:val="24"/>
                <w:szCs w:val="24"/>
                <w:lang w:val="en-US" w:eastAsia="zh-CN" w:bidi="ar-SA"/>
              </w:rPr>
            </w:pPr>
            <w:r>
              <w:rPr>
                <w:rFonts w:hint="eastAsia" w:ascii="仿宋" w:hAnsi="仿宋" w:eastAsia="仿宋" w:cs="Times New Roman"/>
                <w:b/>
                <w:bCs/>
                <w:color w:val="000000"/>
                <w:kern w:val="2"/>
                <w:sz w:val="24"/>
                <w:szCs w:val="24"/>
                <w:lang w:val="en-US" w:eastAsia="zh-CN" w:bidi="ar-SA"/>
              </w:rPr>
              <w:t>住院医疗费用(目录内)</w:t>
            </w:r>
          </w:p>
          <w:p>
            <w:pPr>
              <w:snapToGrid w:val="0"/>
              <w:jc w:val="center"/>
              <w:rPr>
                <w:rFonts w:hint="default"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（经基本医保、大病保险、医疗救助报销后剩余部分）（起付线为2000元）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1"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住院医疗费用</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赔付比例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8"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2000元-5万元（含）</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5万元-10万元（含）</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10万元以上（上不封顶）</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58" w:hRule="atLeast"/>
          <w:jc w:val="center"/>
        </w:trPr>
        <w:tc>
          <w:tcPr>
            <w:tcW w:w="8822" w:type="dxa"/>
            <w:gridSpan w:val="3"/>
            <w:tcBorders>
              <w:top w:val="nil"/>
              <w:left w:val="single" w:color="00B0F0" w:sz="8" w:space="0"/>
              <w:bottom w:val="single" w:color="00B0F0" w:sz="8" w:space="0"/>
              <w:right w:val="single" w:color="00B0F0" w:sz="8" w:space="0"/>
            </w:tcBorders>
            <w:tcMar>
              <w:left w:w="108" w:type="dxa"/>
              <w:right w:w="108" w:type="dxa"/>
            </w:tcMar>
            <w:vAlign w:val="center"/>
          </w:tcPr>
          <w:p>
            <w:pPr>
              <w:snapToGrid w:val="0"/>
              <w:ind w:firstLine="150" w:firstLineChars="71"/>
              <w:jc w:val="center"/>
              <w:rPr>
                <w:rFonts w:hint="eastAsia" w:ascii="仿宋" w:hAnsi="仿宋" w:eastAsia="仿宋" w:cs="仿宋"/>
                <w:b/>
                <w:bCs/>
                <w:lang w:val="en-US" w:eastAsia="zh-CN"/>
              </w:rPr>
            </w:pPr>
          </w:p>
          <w:p>
            <w:pPr>
              <w:snapToGrid w:val="0"/>
              <w:ind w:firstLine="171" w:firstLineChars="71"/>
              <w:jc w:val="center"/>
              <w:rPr>
                <w:rFonts w:hint="eastAsia" w:ascii="仿宋" w:hAnsi="仿宋" w:eastAsia="仿宋" w:cs="仿宋"/>
                <w:b/>
                <w:bCs/>
                <w:lang w:val="en-US" w:eastAsia="zh-CN"/>
              </w:rPr>
            </w:pPr>
            <w:r>
              <w:rPr>
                <w:rFonts w:hint="eastAsia" w:ascii="仿宋" w:hAnsi="仿宋" w:eastAsia="仿宋" w:cs="仿宋"/>
                <w:b/>
                <w:bCs/>
                <w:sz w:val="24"/>
                <w:szCs w:val="24"/>
                <w:lang w:val="en-US" w:eastAsia="zh-CN"/>
              </w:rPr>
              <w:t>住院医疗费用(目录外)</w:t>
            </w:r>
          </w:p>
          <w:p>
            <w:pPr>
              <w:jc w:val="center"/>
              <w:rPr>
                <w:rFonts w:hint="default"/>
                <w:lang w:val="en-US" w:eastAsia="zh-CN"/>
              </w:rPr>
            </w:pPr>
            <w:r>
              <w:rPr>
                <w:rFonts w:hint="eastAsia" w:ascii="仿宋" w:hAnsi="仿宋" w:eastAsia="仿宋" w:cs="仿宋"/>
                <w:b w:val="0"/>
                <w:bCs w:val="0"/>
                <w:color w:val="000000"/>
                <w:kern w:val="2"/>
                <w:sz w:val="24"/>
                <w:szCs w:val="24"/>
                <w:lang w:val="en-US" w:eastAsia="zh-CN" w:bidi="ar-SA"/>
              </w:rPr>
              <w:t>（</w:t>
            </w:r>
            <w:r>
              <w:rPr>
                <w:rFonts w:hint="eastAsia" w:ascii="仿宋" w:hAnsi="仿宋" w:eastAsia="仿宋" w:cs="仿宋"/>
                <w:color w:val="000000"/>
                <w:sz w:val="24"/>
                <w:szCs w:val="24"/>
                <w:lang w:val="en-US" w:eastAsia="zh-CN"/>
              </w:rPr>
              <w:t>不属于基本医疗保险药品目录、诊疗项目和医疗服务设施范围的医疗费用，个人承担部分费用）（起付线为5000元）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住院医疗费用</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赔付比例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5000元-5万元（含）</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5万元-10万元（含）</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default"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10万元-30万元（含）</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6" w:hRule="atLeast"/>
          <w:jc w:val="center"/>
        </w:trPr>
        <w:tc>
          <w:tcPr>
            <w:tcW w:w="8822" w:type="dxa"/>
            <w:gridSpan w:val="3"/>
            <w:tcBorders>
              <w:top w:val="nil"/>
              <w:left w:val="single" w:color="00B0F0" w:sz="8" w:space="0"/>
              <w:bottom w:val="single" w:color="00B0F0" w:sz="8" w:space="0"/>
              <w:right w:val="single" w:color="00B0F0" w:sz="8" w:space="0"/>
            </w:tcBorders>
            <w:shd w:val="clear" w:color="auto" w:fill="0070C0"/>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扩大非住院赔付范围情况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8822" w:type="dxa"/>
            <w:gridSpan w:val="3"/>
            <w:tcBorders>
              <w:top w:val="nil"/>
              <w:left w:val="single" w:color="00B0F0" w:sz="8" w:space="0"/>
              <w:bottom w:val="single" w:color="00B0F0" w:sz="8" w:space="0"/>
              <w:right w:val="single" w:color="00B0F0" w:sz="8" w:space="0"/>
            </w:tcBorders>
            <w:shd w:val="clear" w:color="auto" w:fill="BDD6EE"/>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门（急）诊医疗费用赔付方案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0"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项目一、意外伤害门（急）诊医疗费用</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保额1000元</w:t>
            </w:r>
          </w:p>
          <w:p>
            <w:pPr>
              <w:snapToGrid w:val="0"/>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（免赔100元，赔付比例80%）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8" w:hRule="atLeast"/>
          <w:jc w:val="center"/>
        </w:trPr>
        <w:tc>
          <w:tcPr>
            <w:tcW w:w="4801" w:type="dxa"/>
            <w:tcBorders>
              <w:top w:val="nil"/>
              <w:left w:val="single" w:color="00B0F0" w:sz="8" w:space="0"/>
              <w:bottom w:val="single" w:color="00B0F0" w:sz="8" w:space="0"/>
              <w:right w:val="single" w:color="00B0F0" w:sz="8" w:space="0"/>
            </w:tcBorders>
            <w:tcMar>
              <w:left w:w="108" w:type="dxa"/>
              <w:right w:w="108" w:type="dxa"/>
            </w:tcMar>
            <w:vAlign w:val="center"/>
          </w:tcPr>
          <w:p>
            <w:pPr>
              <w:snapToGrid w:val="0"/>
              <w:ind w:firstLine="480" w:firstLineChars="200"/>
              <w:jc w:val="both"/>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项目二、特殊病种门诊医疗费用</w:t>
            </w:r>
          </w:p>
        </w:tc>
        <w:tc>
          <w:tcPr>
            <w:tcW w:w="4021" w:type="dxa"/>
            <w:gridSpan w:val="2"/>
            <w:tcBorders>
              <w:top w:val="nil"/>
              <w:left w:val="nil"/>
              <w:bottom w:val="single" w:color="00B0F0" w:sz="8" w:space="0"/>
              <w:right w:val="single" w:color="00B0F0" w:sz="8" w:space="0"/>
            </w:tcBorders>
            <w:tcMar>
              <w:left w:w="108" w:type="dxa"/>
              <w:right w:w="108" w:type="dxa"/>
            </w:tcMar>
            <w:vAlign w:val="center"/>
          </w:tcPr>
          <w:p>
            <w:pPr>
              <w:snapToGrid w:val="0"/>
              <w:jc w:val="left"/>
              <w:rPr>
                <w:rFonts w:hint="eastAsia"/>
                <w:sz w:val="24"/>
                <w:szCs w:val="24"/>
                <w:lang w:val="en-US" w:eastAsia="zh-CN"/>
              </w:rPr>
            </w:pPr>
            <w:r>
              <w:rPr>
                <w:rFonts w:hint="eastAsia" w:ascii="仿宋" w:hAnsi="仿宋" w:eastAsia="仿宋" w:cs="Times New Roman"/>
                <w:b w:val="0"/>
                <w:bCs w:val="0"/>
                <w:color w:val="000000"/>
                <w:kern w:val="2"/>
                <w:sz w:val="24"/>
                <w:szCs w:val="24"/>
                <w:lang w:val="en-US" w:eastAsia="zh-CN" w:bidi="ar-SA"/>
              </w:rPr>
              <w:t>视同疾病住院补充医疗住院医疗费用 (目录内)范围，起付线设置为5000元；起付线（5000元）-50000元（含）部分，赔付25%；50000元-100000元（含）部分，赔付50%；100000元以上部分，本保险方案予以赔付70%，以100万元为限。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8822" w:type="dxa"/>
            <w:gridSpan w:val="3"/>
            <w:tcBorders>
              <w:top w:val="nil"/>
              <w:left w:val="single" w:color="00B0F0" w:sz="8" w:space="0"/>
              <w:bottom w:val="single" w:color="00B0F0" w:sz="8" w:space="0"/>
              <w:right w:val="single" w:color="00B0F0" w:sz="8" w:space="0"/>
            </w:tcBorders>
            <w:shd w:val="clear" w:color="auto" w:fill="BDD6EE"/>
            <w:tcMar>
              <w:left w:w="108" w:type="dxa"/>
              <w:right w:w="108" w:type="dxa"/>
            </w:tcMar>
            <w:vAlign w:val="center"/>
          </w:tcPr>
          <w:p>
            <w:pPr>
              <w:widowControl/>
              <w:ind w:firstLine="562"/>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法定传染病保险（含新冠）保障方案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61" w:hRule="atLeast"/>
          <w:jc w:val="center"/>
        </w:trPr>
        <w:tc>
          <w:tcPr>
            <w:tcW w:w="4803" w:type="dxa"/>
            <w:gridSpan w:val="2"/>
            <w:tcBorders>
              <w:top w:val="nil"/>
              <w:left w:val="single" w:color="00B0F0" w:sz="8" w:space="0"/>
              <w:bottom w:val="single" w:color="00B0F0" w:sz="8" w:space="0"/>
              <w:right w:val="single" w:color="auto" w:sz="4" w:space="0"/>
            </w:tcBorders>
            <w:shd w:val="clear" w:color="auto" w:fill="FFFFFF"/>
            <w:tcMar>
              <w:left w:w="108" w:type="dxa"/>
              <w:right w:w="108" w:type="dxa"/>
            </w:tcMar>
            <w:vAlign w:val="center"/>
          </w:tcPr>
          <w:p>
            <w:pPr>
              <w:widowControl/>
              <w:snapToGrid w:val="0"/>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约定承保因冠状病毒感染导致的乙类传染病、脊髓灰质炎、人感染高致病性禽流感、麻疹、流行性出血热、狂犬病、流行性乙型脑炎、登革热、伤寒和副伤寒、炭疽、疟疾、血吸虫病等12种法定传染病。</w:t>
            </w:r>
          </w:p>
        </w:tc>
        <w:tc>
          <w:tcPr>
            <w:tcW w:w="4019" w:type="dxa"/>
            <w:tcBorders>
              <w:top w:val="nil"/>
              <w:left w:val="single" w:color="auto" w:sz="4" w:space="0"/>
              <w:bottom w:val="single" w:color="00B0F0" w:sz="8" w:space="0"/>
              <w:right w:val="single" w:color="00B0F0" w:sz="8" w:space="0"/>
            </w:tcBorders>
            <w:shd w:val="clear" w:color="auto" w:fill="FFFFFF"/>
            <w:tcMar>
              <w:left w:w="108" w:type="dxa"/>
              <w:right w:w="108" w:type="dxa"/>
            </w:tcMar>
            <w:vAlign w:val="center"/>
          </w:tcPr>
          <w:p>
            <w:pPr>
              <w:widowControl/>
              <w:snapToGrid w:val="0"/>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身故给付5万元，无等待期。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8822" w:type="dxa"/>
            <w:gridSpan w:val="3"/>
            <w:tcBorders>
              <w:top w:val="nil"/>
              <w:left w:val="single" w:color="00B0F0" w:sz="8" w:space="0"/>
              <w:bottom w:val="single" w:color="auto" w:sz="4" w:space="0"/>
              <w:right w:val="single" w:color="00B0F0" w:sz="8" w:space="0"/>
            </w:tcBorders>
            <w:shd w:val="clear" w:color="auto" w:fill="9CC2E5"/>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意外保障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4803" w:type="dxa"/>
            <w:gridSpan w:val="2"/>
            <w:tcBorders>
              <w:top w:val="single" w:color="auto" w:sz="4" w:space="0"/>
              <w:left w:val="single" w:color="00B0F0" w:sz="8" w:space="0"/>
              <w:bottom w:val="single" w:color="auto" w:sz="4" w:space="0"/>
              <w:right w:val="single" w:color="auto" w:sz="4" w:space="0"/>
            </w:tcBorders>
            <w:shd w:val="clear" w:color="auto" w:fill="FFFFFF"/>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意外伤害身故</w:t>
            </w:r>
          </w:p>
        </w:tc>
        <w:tc>
          <w:tcPr>
            <w:tcW w:w="4019" w:type="dxa"/>
            <w:tcBorders>
              <w:top w:val="single" w:color="auto" w:sz="4" w:space="0"/>
              <w:left w:val="single" w:color="auto" w:sz="4" w:space="0"/>
              <w:bottom w:val="single" w:color="auto" w:sz="4"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被保险人以意外伤害为直接原因的身故的，保险人按照5万元保险金额给付身故保险金。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4803" w:type="dxa"/>
            <w:gridSpan w:val="2"/>
            <w:tcBorders>
              <w:top w:val="single" w:color="auto" w:sz="4" w:space="0"/>
              <w:left w:val="single" w:color="00B0F0" w:sz="8" w:space="0"/>
              <w:bottom w:val="single" w:color="auto" w:sz="4" w:space="0"/>
              <w:right w:val="single" w:color="auto" w:sz="4" w:space="0"/>
            </w:tcBorders>
            <w:shd w:val="clear" w:color="auto" w:fill="FFFFFF"/>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意外伤害残疾</w:t>
            </w:r>
          </w:p>
        </w:tc>
        <w:tc>
          <w:tcPr>
            <w:tcW w:w="4019" w:type="dxa"/>
            <w:tcBorders>
              <w:top w:val="single" w:color="auto" w:sz="4" w:space="0"/>
              <w:left w:val="single" w:color="auto" w:sz="4" w:space="0"/>
              <w:bottom w:val="single" w:color="auto" w:sz="4"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按照伤残等级评定给付相应残疾保险金，最高赔付5万元。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4803" w:type="dxa"/>
            <w:gridSpan w:val="2"/>
            <w:tcBorders>
              <w:top w:val="single" w:color="auto" w:sz="4" w:space="0"/>
              <w:left w:val="single" w:color="00B0F0" w:sz="8" w:space="0"/>
              <w:bottom w:val="single" w:color="auto" w:sz="4" w:space="0"/>
              <w:right w:val="single" w:color="auto" w:sz="4" w:space="0"/>
            </w:tcBorders>
            <w:shd w:val="clear" w:color="auto" w:fill="FFFFFF"/>
            <w:tcMar>
              <w:left w:w="108" w:type="dxa"/>
              <w:right w:w="108" w:type="dxa"/>
            </w:tcMar>
            <w:vAlign w:val="center"/>
          </w:tcPr>
          <w:p>
            <w:pPr>
              <w:widowControl/>
              <w:jc w:val="center"/>
              <w:rPr>
                <w:rFonts w:hint="default"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意外烧伤</w:t>
            </w:r>
          </w:p>
        </w:tc>
        <w:tc>
          <w:tcPr>
            <w:tcW w:w="4019" w:type="dxa"/>
            <w:tcBorders>
              <w:top w:val="single" w:color="auto" w:sz="4" w:space="0"/>
              <w:left w:val="single" w:color="auto" w:sz="4" w:space="0"/>
              <w:bottom w:val="single" w:color="auto" w:sz="4"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按照烧伤等级评定给付相应的保险金，最高赔付5万元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8822" w:type="dxa"/>
            <w:gridSpan w:val="3"/>
            <w:tcBorders>
              <w:top w:val="single" w:color="auto" w:sz="4" w:space="0"/>
              <w:left w:val="single" w:color="00B0F0" w:sz="8" w:space="0"/>
              <w:bottom w:val="single" w:color="auto" w:sz="4" w:space="0"/>
              <w:right w:val="single" w:color="00B0F0" w:sz="8" w:space="0"/>
            </w:tcBorders>
            <w:shd w:val="clear" w:color="auto" w:fill="9CC2E5"/>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住院津贴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8" w:hRule="atLeast"/>
          <w:jc w:val="center"/>
        </w:trPr>
        <w:tc>
          <w:tcPr>
            <w:tcW w:w="4803" w:type="dxa"/>
            <w:gridSpan w:val="2"/>
            <w:tcBorders>
              <w:top w:val="single" w:color="auto" w:sz="4" w:space="0"/>
              <w:left w:val="single" w:color="00B0F0" w:sz="8" w:space="0"/>
              <w:bottom w:val="single" w:color="auto" w:sz="4" w:space="0"/>
              <w:right w:val="single" w:color="auto" w:sz="4" w:space="0"/>
            </w:tcBorders>
            <w:shd w:val="clear" w:color="auto" w:fill="FFFFFF"/>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法定传染病住院津贴补助</w:t>
            </w:r>
          </w:p>
        </w:tc>
        <w:tc>
          <w:tcPr>
            <w:tcW w:w="4019" w:type="dxa"/>
            <w:vMerge w:val="restart"/>
            <w:tcBorders>
              <w:top w:val="single" w:color="auto" w:sz="4" w:space="0"/>
              <w:left w:val="single" w:color="auto" w:sz="4"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p>
          <w:p>
            <w:pPr>
              <w:widowControl/>
              <w:jc w:val="left"/>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法定传染病住院、疾病住院津贴补助、意外住院津贴补助每天补助50元，住院即可赔付津贴，每人每次补贴不超过30天，累计不超过60天，最高赔付3000元。</w:t>
            </w:r>
          </w:p>
          <w:p>
            <w:pPr>
              <w:widowControl/>
              <w:jc w:val="left"/>
              <w:rPr>
                <w:rFonts w:hint="eastAsia" w:ascii="仿宋" w:hAnsi="仿宋" w:eastAsia="仿宋" w:cs="Times New Roman"/>
                <w:b w:val="0"/>
                <w:color w:val="000000"/>
                <w:kern w:val="2"/>
                <w:sz w:val="24"/>
                <w:szCs w:val="24"/>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8" w:hRule="atLeast"/>
          <w:jc w:val="center"/>
        </w:trPr>
        <w:tc>
          <w:tcPr>
            <w:tcW w:w="4803" w:type="dxa"/>
            <w:gridSpan w:val="2"/>
            <w:tcBorders>
              <w:top w:val="single" w:color="auto" w:sz="4" w:space="0"/>
              <w:left w:val="single" w:color="00B0F0" w:sz="8" w:space="0"/>
              <w:bottom w:val="single" w:color="auto" w:sz="4" w:space="0"/>
              <w:right w:val="single" w:color="auto" w:sz="4" w:space="0"/>
            </w:tcBorders>
            <w:shd w:val="clear" w:color="auto" w:fill="FFFFFF"/>
            <w:tcMar>
              <w:left w:w="108" w:type="dxa"/>
              <w:right w:w="108" w:type="dxa"/>
            </w:tcMar>
            <w:vAlign w:val="center"/>
          </w:tcPr>
          <w:p>
            <w:pPr>
              <w:widowControl/>
              <w:jc w:val="center"/>
              <w:rPr>
                <w:rFonts w:hint="default"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疾病住院津贴补助</w:t>
            </w:r>
          </w:p>
        </w:tc>
        <w:tc>
          <w:tcPr>
            <w:tcW w:w="4019" w:type="dxa"/>
            <w:vMerge w:val="continue"/>
            <w:tcBorders>
              <w:left w:val="single" w:color="auto" w:sz="4"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8" w:hRule="atLeast"/>
          <w:jc w:val="center"/>
        </w:trPr>
        <w:tc>
          <w:tcPr>
            <w:tcW w:w="4803" w:type="dxa"/>
            <w:gridSpan w:val="2"/>
            <w:tcBorders>
              <w:top w:val="single" w:color="auto" w:sz="4" w:space="0"/>
              <w:left w:val="single" w:color="00B0F0" w:sz="8" w:space="0"/>
              <w:bottom w:val="single" w:color="00B0F0" w:sz="8" w:space="0"/>
              <w:right w:val="single" w:color="auto" w:sz="4" w:space="0"/>
            </w:tcBorders>
            <w:shd w:val="clear" w:color="auto" w:fill="FFFFFF"/>
            <w:tcMar>
              <w:left w:w="108" w:type="dxa"/>
              <w:right w:w="108" w:type="dxa"/>
            </w:tcMar>
            <w:vAlign w:val="center"/>
          </w:tcPr>
          <w:p>
            <w:pPr>
              <w:widowControl/>
              <w:jc w:val="center"/>
              <w:rPr>
                <w:rFonts w:hint="eastAsia" w:ascii="仿宋" w:hAnsi="仿宋" w:eastAsia="仿宋" w:cs="Times New Roman"/>
                <w:b w:val="0"/>
                <w:color w:val="000000"/>
                <w:kern w:val="2"/>
                <w:sz w:val="24"/>
                <w:szCs w:val="24"/>
                <w:lang w:val="en-US" w:eastAsia="zh-CN" w:bidi="ar-SA"/>
              </w:rPr>
            </w:pPr>
            <w:r>
              <w:rPr>
                <w:rFonts w:hint="eastAsia" w:ascii="仿宋" w:hAnsi="仿宋" w:eastAsia="仿宋" w:cs="Times New Roman"/>
                <w:b w:val="0"/>
                <w:color w:val="000000"/>
                <w:kern w:val="2"/>
                <w:sz w:val="24"/>
                <w:szCs w:val="24"/>
                <w:lang w:val="en-US" w:eastAsia="zh-CN" w:bidi="ar-SA"/>
              </w:rPr>
              <w:t>意外住院津贴补助</w:t>
            </w:r>
          </w:p>
        </w:tc>
        <w:tc>
          <w:tcPr>
            <w:tcW w:w="4019" w:type="dxa"/>
            <w:vMerge w:val="continue"/>
            <w:tcBorders>
              <w:left w:val="single" w:color="auto" w:sz="4" w:space="0"/>
              <w:bottom w:val="single" w:color="00B0F0" w:sz="8" w:space="0"/>
              <w:right w:val="single" w:color="00B0F0" w:sz="8" w:space="0"/>
            </w:tcBorders>
            <w:shd w:val="clear" w:color="auto" w:fill="FFFFFF"/>
            <w:tcMar>
              <w:left w:w="108" w:type="dxa"/>
              <w:right w:w="108" w:type="dxa"/>
            </w:tcMar>
            <w:vAlign w:val="center"/>
          </w:tcPr>
          <w:p>
            <w:pPr>
              <w:widowControl/>
              <w:jc w:val="left"/>
              <w:rPr>
                <w:rFonts w:hint="eastAsia" w:ascii="仿宋" w:hAnsi="仿宋" w:eastAsia="仿宋" w:cs="Times New Roman"/>
                <w:b w:val="0"/>
                <w:color w:val="000000"/>
                <w:kern w:val="2"/>
                <w:sz w:val="24"/>
                <w:szCs w:val="24"/>
                <w:lang w:val="en-US" w:eastAsia="zh-CN" w:bidi="ar-SA"/>
              </w:rPr>
            </w:pPr>
          </w:p>
        </w:tc>
      </w:tr>
    </w:tbl>
    <w:p>
      <w:pPr>
        <w:rPr>
          <w:rFonts w:hint="eastAsia"/>
          <w:lang w:eastAsia="zh-CN"/>
        </w:rPr>
      </w:pPr>
    </w:p>
    <w:p>
      <w:pPr>
        <w:wordWrap/>
        <w:adjustRightInd/>
        <w:snapToGrid/>
        <w:spacing w:line="540" w:lineRule="exact"/>
        <w:jc w:val="left"/>
        <w:textAlignment w:val="auto"/>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理赔流程：</w:t>
      </w:r>
    </w:p>
    <w:p>
      <w:pPr>
        <w:wordWrap/>
        <w:adjustRightInd/>
        <w:snapToGrid/>
        <w:spacing w:line="540" w:lineRule="exact"/>
        <w:ind w:firstLine="480" w:firstLineChars="200"/>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门诊、住院医疗：</w:t>
      </w:r>
    </w:p>
    <w:p>
      <w:pPr>
        <w:wordWrap/>
        <w:adjustRightInd/>
        <w:snapToGrid/>
        <w:spacing w:line="540" w:lineRule="exact"/>
        <w:ind w:firstLine="480" w:firstLineChars="200"/>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1.无需报案，正常就医（需自行保留医药费发票2年。）</w:t>
      </w:r>
    </w:p>
    <w:p>
      <w:pPr>
        <w:wordWrap/>
        <w:adjustRightInd/>
        <w:snapToGrid/>
        <w:spacing w:line="540" w:lineRule="exact"/>
        <w:ind w:firstLine="480" w:firstLineChars="200"/>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2.理赔款每月定期打入被保险人账号。</w:t>
      </w:r>
    </w:p>
    <w:p>
      <w:pPr>
        <w:wordWrap/>
        <w:adjustRightInd/>
        <w:snapToGrid/>
        <w:spacing w:line="540" w:lineRule="exact"/>
        <w:ind w:firstLine="480" w:firstLineChars="200"/>
        <w:textAlignment w:val="auto"/>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意外致残致死：</w:t>
      </w:r>
    </w:p>
    <w:p>
      <w:pPr>
        <w:pStyle w:val="2"/>
        <w:ind w:firstLine="480" w:firstLineChars="200"/>
        <w:jc w:val="left"/>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如发生意外造成的致残致死以及因法定传染病造成死亡案件请及时与片区客户经理联系。</w:t>
      </w:r>
    </w:p>
    <w:p>
      <w:pPr>
        <w:rPr>
          <w:rFonts w:hint="eastAsia"/>
          <w:lang w:val="en-US" w:eastAsia="zh-CN"/>
        </w:rPr>
      </w:pPr>
    </w:p>
    <w:p>
      <w:pP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联系方式：</w:t>
      </w:r>
    </w:p>
    <w:tbl>
      <w:tblPr>
        <w:tblStyle w:val="6"/>
        <w:tblpPr w:leftFromText="180" w:rightFromText="180" w:vertAnchor="text" w:horzAnchor="page" w:tblpX="2039" w:tblpY="528"/>
        <w:tblOverlap w:val="never"/>
        <w:tblW w:w="7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295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exact"/>
        </w:trPr>
        <w:tc>
          <w:tcPr>
            <w:tcW w:w="2313" w:type="dxa"/>
            <w:vAlign w:val="center"/>
          </w:tcPr>
          <w:p>
            <w:pPr>
              <w:spacing w:line="360" w:lineRule="auto"/>
              <w:jc w:val="center"/>
              <w:rPr>
                <w:rFonts w:hint="default" w:ascii="仿宋" w:hAnsi="仿宋" w:eastAsia="仿宋" w:cs="仿宋"/>
                <w:b/>
                <w:color w:val="000000"/>
                <w:szCs w:val="21"/>
                <w:lang w:val="en-US" w:eastAsia="zh-CN"/>
              </w:rPr>
            </w:pPr>
            <w:r>
              <w:rPr>
                <w:rFonts w:hint="eastAsia" w:ascii="仿宋" w:hAnsi="仿宋" w:eastAsia="仿宋" w:cs="仿宋"/>
                <w:b/>
                <w:color w:val="000000"/>
                <w:szCs w:val="21"/>
                <w:lang w:val="en-US" w:eastAsia="zh-CN"/>
              </w:rPr>
              <w:t>服务网点</w:t>
            </w:r>
          </w:p>
        </w:tc>
        <w:tc>
          <w:tcPr>
            <w:tcW w:w="2955" w:type="dxa"/>
            <w:vAlign w:val="center"/>
          </w:tcPr>
          <w:p>
            <w:pPr>
              <w:spacing w:line="360" w:lineRule="auto"/>
              <w:jc w:val="center"/>
              <w:rPr>
                <w:rFonts w:hint="eastAsia" w:ascii="仿宋" w:hAnsi="仿宋" w:eastAsia="仿宋" w:cs="仿宋"/>
                <w:color w:val="000000"/>
                <w:szCs w:val="21"/>
                <w:lang w:eastAsia="zh-CN"/>
              </w:rPr>
            </w:pPr>
            <w:r>
              <w:rPr>
                <w:rFonts w:hint="eastAsia" w:ascii="仿宋" w:hAnsi="仿宋" w:eastAsia="仿宋" w:cs="仿宋"/>
                <w:b/>
                <w:color w:val="000000"/>
                <w:szCs w:val="21"/>
                <w:lang w:val="en-US" w:eastAsia="zh-CN"/>
              </w:rPr>
              <w:t>地址</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exact"/>
        </w:trPr>
        <w:tc>
          <w:tcPr>
            <w:tcW w:w="2313" w:type="dxa"/>
            <w:vAlign w:val="center"/>
          </w:tcPr>
          <w:p>
            <w:pPr>
              <w:spacing w:line="360" w:lineRule="auto"/>
              <w:jc w:val="center"/>
              <w:rPr>
                <w:rFonts w:hint="default" w:ascii="仿宋" w:hAnsi="仿宋" w:eastAsia="仿宋" w:cs="仿宋"/>
                <w:b w:val="0"/>
                <w:bCs/>
                <w:color w:val="000000"/>
                <w:szCs w:val="21"/>
                <w:lang w:val="en-US" w:eastAsia="zh-CN"/>
              </w:rPr>
            </w:pPr>
            <w:r>
              <w:rPr>
                <w:rFonts w:hint="eastAsia" w:ascii="仿宋" w:hAnsi="仿宋" w:eastAsia="仿宋" w:cs="仿宋"/>
                <w:b w:val="0"/>
                <w:bCs/>
                <w:color w:val="000000"/>
                <w:szCs w:val="21"/>
                <w:lang w:val="en-US" w:eastAsia="zh-CN"/>
              </w:rPr>
              <w:t>本级</w:t>
            </w:r>
          </w:p>
        </w:tc>
        <w:tc>
          <w:tcPr>
            <w:tcW w:w="2955" w:type="dxa"/>
            <w:vAlign w:val="center"/>
          </w:tcPr>
          <w:p>
            <w:pPr>
              <w:spacing w:line="360" w:lineRule="auto"/>
              <w:jc w:val="center"/>
              <w:rPr>
                <w:rFonts w:hint="eastAsia" w:ascii="仿宋" w:hAnsi="仿宋" w:eastAsia="仿宋" w:cs="仿宋"/>
                <w:b w:val="0"/>
                <w:bCs/>
                <w:color w:val="000000"/>
                <w:szCs w:val="21"/>
                <w:lang w:val="en-US" w:eastAsia="zh-CN"/>
              </w:rPr>
            </w:pPr>
            <w:r>
              <w:rPr>
                <w:rFonts w:hint="eastAsia" w:ascii="仿宋" w:hAnsi="仿宋" w:eastAsia="仿宋" w:cs="仿宋"/>
                <w:b w:val="0"/>
                <w:bCs/>
                <w:color w:val="000000"/>
                <w:szCs w:val="21"/>
                <w:lang w:val="en-US" w:eastAsia="zh-CN"/>
              </w:rPr>
              <w:t>临平东湖街道东湖北路167号</w:t>
            </w:r>
          </w:p>
        </w:tc>
        <w:tc>
          <w:tcPr>
            <w:tcW w:w="2670" w:type="dxa"/>
            <w:vAlign w:val="center"/>
          </w:tcPr>
          <w:p>
            <w:pPr>
              <w:spacing w:line="360" w:lineRule="auto"/>
              <w:jc w:val="center"/>
              <w:rPr>
                <w:rFonts w:hint="default" w:ascii="仿宋" w:hAnsi="仿宋" w:eastAsia="仿宋" w:cs="仿宋"/>
                <w:lang w:val="en-US"/>
              </w:rPr>
            </w:pPr>
            <w:r>
              <w:rPr>
                <w:rFonts w:hint="eastAsia" w:ascii="仿宋" w:hAnsi="仿宋" w:eastAsia="仿宋" w:cs="仿宋"/>
                <w:b w:val="0"/>
                <w:bCs/>
                <w:color w:val="000000"/>
                <w:szCs w:val="21"/>
                <w:lang w:val="en-US" w:eastAsia="zh-CN"/>
              </w:rPr>
              <w:t>0571-89197050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塘栖营销部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b w:val="0"/>
                <w:bCs/>
                <w:color w:val="000000"/>
                <w:szCs w:val="21"/>
                <w:lang w:val="en-US" w:eastAsia="zh-CN"/>
              </w:rPr>
              <w:t>塘栖街道鼎盛街48号</w:t>
            </w:r>
          </w:p>
        </w:tc>
        <w:tc>
          <w:tcPr>
            <w:tcW w:w="267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b w:val="0"/>
                <w:bCs/>
                <w:color w:val="000000"/>
                <w:szCs w:val="21"/>
                <w:lang w:val="en-US" w:eastAsia="zh-CN"/>
              </w:rPr>
              <w:t>0571-</w:t>
            </w:r>
            <w:r>
              <w:rPr>
                <w:rFonts w:hint="default" w:ascii="仿宋" w:hAnsi="仿宋" w:eastAsia="仿宋" w:cs="仿宋"/>
                <w:lang w:val="en-US" w:eastAsia="zh-CN"/>
              </w:rPr>
              <w:t>86377886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乔司营销部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乔司</w:t>
            </w:r>
            <w:r>
              <w:rPr>
                <w:rFonts w:hint="eastAsia" w:ascii="仿宋" w:hAnsi="仿宋" w:eastAsia="仿宋" w:cs="仿宋"/>
                <w:color w:val="000000"/>
                <w:szCs w:val="21"/>
                <w:lang w:val="en-US" w:eastAsia="zh-CN"/>
              </w:rPr>
              <w:t>街道</w:t>
            </w:r>
            <w:r>
              <w:rPr>
                <w:rFonts w:hint="eastAsia" w:ascii="仿宋" w:hAnsi="仿宋" w:eastAsia="仿宋" w:cs="仿宋"/>
                <w:color w:val="000000"/>
                <w:szCs w:val="21"/>
              </w:rPr>
              <w:t>永乔路174号</w:t>
            </w:r>
          </w:p>
        </w:tc>
        <w:tc>
          <w:tcPr>
            <w:tcW w:w="2670" w:type="dxa"/>
            <w:vAlign w:val="center"/>
          </w:tcPr>
          <w:p>
            <w:pPr>
              <w:spacing w:line="360" w:lineRule="auto"/>
              <w:jc w:val="center"/>
              <w:rPr>
                <w:rFonts w:hint="default" w:ascii="仿宋" w:hAnsi="仿宋" w:eastAsia="仿宋" w:cs="仿宋"/>
                <w:lang w:val="en-US" w:eastAsia="zh-CN"/>
              </w:rPr>
            </w:pPr>
            <w:r>
              <w:rPr>
                <w:rFonts w:hint="eastAsia" w:ascii="仿宋" w:hAnsi="仿宋" w:eastAsia="仿宋" w:cs="仿宋"/>
                <w:b w:val="0"/>
                <w:bCs/>
                <w:color w:val="000000"/>
                <w:szCs w:val="21"/>
                <w:lang w:val="en-US" w:eastAsia="zh-CN"/>
              </w:rPr>
              <w:t>0571-</w:t>
            </w:r>
            <w:r>
              <w:rPr>
                <w:rFonts w:hint="eastAsia" w:ascii="仿宋" w:hAnsi="仿宋" w:eastAsia="仿宋" w:cs="仿宋"/>
                <w:color w:val="000000"/>
                <w:szCs w:val="21"/>
                <w:lang w:val="en-US" w:eastAsia="zh-CN"/>
              </w:rPr>
              <w:t>89193833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余杭营销部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余杭</w:t>
            </w:r>
            <w:r>
              <w:rPr>
                <w:rFonts w:hint="eastAsia" w:ascii="仿宋" w:hAnsi="仿宋" w:eastAsia="仿宋" w:cs="仿宋"/>
                <w:color w:val="000000"/>
                <w:szCs w:val="21"/>
                <w:lang w:val="en-US" w:eastAsia="zh-CN"/>
              </w:rPr>
              <w:t>街道</w:t>
            </w:r>
            <w:r>
              <w:rPr>
                <w:rFonts w:hint="eastAsia" w:ascii="仿宋" w:hAnsi="仿宋" w:eastAsia="仿宋" w:cs="仿宋"/>
                <w:color w:val="000000"/>
                <w:szCs w:val="21"/>
              </w:rPr>
              <w:t>城南路296号</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val="0"/>
                <w:bCs/>
                <w:color w:val="000000"/>
                <w:szCs w:val="21"/>
                <w:lang w:val="en-US" w:eastAsia="zh-CN"/>
              </w:rPr>
              <w:t>0571-</w:t>
            </w:r>
            <w:r>
              <w:rPr>
                <w:rFonts w:hint="eastAsia" w:ascii="仿宋" w:hAnsi="仿宋" w:eastAsia="仿宋" w:cs="仿宋"/>
              </w:rPr>
              <w:t>88670670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瓶窑营销部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瓶窑</w:t>
            </w:r>
            <w:r>
              <w:rPr>
                <w:rFonts w:hint="eastAsia" w:ascii="仿宋" w:hAnsi="仿宋" w:eastAsia="仿宋" w:cs="仿宋"/>
                <w:color w:val="000000"/>
                <w:szCs w:val="21"/>
                <w:lang w:val="en-US" w:eastAsia="zh-CN"/>
              </w:rPr>
              <w:t>街道</w:t>
            </w:r>
            <w:r>
              <w:rPr>
                <w:rFonts w:hint="eastAsia" w:ascii="仿宋" w:hAnsi="仿宋" w:eastAsia="仿宋" w:cs="仿宋"/>
                <w:color w:val="000000"/>
                <w:szCs w:val="21"/>
              </w:rPr>
              <w:t>华兴路374号</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val="0"/>
                <w:bCs/>
                <w:color w:val="000000"/>
                <w:szCs w:val="21"/>
                <w:lang w:val="en-US" w:eastAsia="zh-CN"/>
              </w:rPr>
              <w:t>0571-</w:t>
            </w:r>
            <w:r>
              <w:rPr>
                <w:rFonts w:hint="eastAsia" w:ascii="仿宋" w:hAnsi="仿宋" w:eastAsia="仿宋" w:cs="仿宋"/>
              </w:rPr>
              <w:t>88542704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良渚营销部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良渚</w:t>
            </w:r>
            <w:r>
              <w:rPr>
                <w:rFonts w:hint="eastAsia" w:ascii="仿宋" w:hAnsi="仿宋" w:eastAsia="仿宋" w:cs="仿宋"/>
                <w:color w:val="000000"/>
                <w:szCs w:val="21"/>
                <w:lang w:val="en-US" w:eastAsia="zh-CN"/>
              </w:rPr>
              <w:t>街道</w:t>
            </w:r>
            <w:r>
              <w:rPr>
                <w:rFonts w:hint="eastAsia" w:ascii="仿宋" w:hAnsi="仿宋" w:eastAsia="仿宋" w:cs="仿宋"/>
                <w:color w:val="000000"/>
                <w:szCs w:val="21"/>
              </w:rPr>
              <w:t>玉管路58</w:t>
            </w:r>
            <w:r>
              <w:rPr>
                <w:rFonts w:hint="eastAsia" w:ascii="仿宋" w:hAnsi="仿宋" w:eastAsia="仿宋" w:cs="仿宋"/>
                <w:color w:val="000000"/>
                <w:szCs w:val="21"/>
                <w:lang w:val="en-US" w:eastAsia="zh-CN"/>
              </w:rPr>
              <w:t>-</w:t>
            </w:r>
            <w:r>
              <w:rPr>
                <w:rFonts w:hint="eastAsia" w:ascii="仿宋" w:hAnsi="仿宋" w:eastAsia="仿宋" w:cs="仿宋"/>
                <w:color w:val="000000"/>
                <w:szCs w:val="21"/>
              </w:rPr>
              <w:t>64号</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val="0"/>
                <w:bCs/>
                <w:color w:val="000000"/>
                <w:szCs w:val="21"/>
                <w:lang w:val="en-US" w:eastAsia="zh-CN"/>
              </w:rPr>
              <w:t>0571-</w:t>
            </w:r>
            <w:r>
              <w:rPr>
                <w:rFonts w:hint="eastAsia" w:ascii="仿宋" w:hAnsi="仿宋" w:eastAsia="仿宋" w:cs="仿宋"/>
              </w:rPr>
              <w:t>88780060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棕榈湾营销部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lang w:val="en-US" w:eastAsia="zh-CN"/>
              </w:rPr>
              <w:t>勾庄</w:t>
            </w:r>
            <w:r>
              <w:rPr>
                <w:rFonts w:hint="eastAsia" w:ascii="仿宋" w:hAnsi="仿宋" w:eastAsia="仿宋" w:cs="仿宋"/>
                <w:color w:val="000000"/>
                <w:szCs w:val="21"/>
              </w:rPr>
              <w:t>棕榈湾城棕榈路71号</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val="0"/>
                <w:bCs/>
                <w:color w:val="000000"/>
                <w:szCs w:val="21"/>
                <w:lang w:val="en-US" w:eastAsia="zh-CN"/>
              </w:rPr>
              <w:t>0571-</w:t>
            </w:r>
            <w:r>
              <w:rPr>
                <w:rFonts w:hint="eastAsia" w:ascii="仿宋" w:hAnsi="仿宋" w:eastAsia="仿宋" w:cs="仿宋"/>
              </w:rPr>
              <w:t>88756609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3" w:hRule="exact"/>
        </w:trPr>
        <w:tc>
          <w:tcPr>
            <w:tcW w:w="2313" w:type="dxa"/>
            <w:vAlign w:val="center"/>
          </w:tcPr>
          <w:p>
            <w:pPr>
              <w:spacing w:line="360" w:lineRule="auto"/>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三墩营销部</w:t>
            </w:r>
          </w:p>
        </w:tc>
        <w:tc>
          <w:tcPr>
            <w:tcW w:w="2955" w:type="dxa"/>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三墩</w:t>
            </w:r>
            <w:r>
              <w:rPr>
                <w:rFonts w:hint="eastAsia" w:ascii="仿宋" w:hAnsi="仿宋" w:eastAsia="仿宋" w:cs="仿宋"/>
                <w:color w:val="000000"/>
                <w:szCs w:val="21"/>
                <w:lang w:val="en-US" w:eastAsia="zh-CN"/>
              </w:rPr>
              <w:t>街道</w:t>
            </w:r>
            <w:r>
              <w:rPr>
                <w:rFonts w:hint="eastAsia" w:ascii="仿宋" w:hAnsi="仿宋" w:eastAsia="仿宋" w:cs="仿宋"/>
                <w:color w:val="000000"/>
                <w:szCs w:val="21"/>
              </w:rPr>
              <w:t>灯彩街422.424号</w:t>
            </w:r>
          </w:p>
        </w:tc>
        <w:tc>
          <w:tcPr>
            <w:tcW w:w="2670" w:type="dxa"/>
            <w:vAlign w:val="center"/>
          </w:tcPr>
          <w:p>
            <w:pPr>
              <w:spacing w:line="360" w:lineRule="auto"/>
              <w:jc w:val="center"/>
              <w:rPr>
                <w:rFonts w:hint="eastAsia" w:ascii="仿宋" w:hAnsi="仿宋" w:eastAsia="仿宋" w:cs="仿宋"/>
              </w:rPr>
            </w:pPr>
            <w:r>
              <w:rPr>
                <w:rFonts w:hint="eastAsia" w:ascii="仿宋" w:hAnsi="仿宋" w:eastAsia="仿宋" w:cs="仿宋"/>
                <w:b w:val="0"/>
                <w:bCs/>
                <w:color w:val="000000"/>
                <w:szCs w:val="21"/>
                <w:lang w:val="en-US" w:eastAsia="zh-CN"/>
              </w:rPr>
              <w:t>0571-</w:t>
            </w:r>
            <w:r>
              <w:rPr>
                <w:rFonts w:hint="eastAsia" w:ascii="仿宋" w:hAnsi="仿宋" w:eastAsia="仿宋" w:cs="仿宋"/>
              </w:rPr>
              <w:t>88235206</w:t>
            </w:r>
          </w:p>
        </w:tc>
      </w:tr>
    </w:tbl>
    <w:p>
      <w:pPr>
        <w:pStyle w:val="2"/>
        <w:rPr>
          <w:rFonts w:hint="eastAsia"/>
          <w:lang w:val="en-US" w:eastAsia="zh-CN"/>
        </w:rPr>
      </w:pPr>
    </w:p>
    <w:p>
      <w:pPr>
        <w:pStyle w:val="2"/>
        <w:jc w:val="left"/>
        <w:rPr>
          <w:rFonts w:hint="eastAsia" w:ascii="仿宋" w:hAnsi="仿宋" w:eastAsia="仿宋" w:cs="仿宋"/>
          <w:b/>
          <w:bCs w:val="0"/>
          <w:sz w:val="24"/>
          <w:szCs w:val="24"/>
          <w:lang w:eastAsia="zh-CN"/>
        </w:rPr>
      </w:pPr>
      <w:r>
        <w:rPr>
          <w:rFonts w:hint="eastAsia"/>
          <w:lang w:eastAsia="zh-CN"/>
        </w:rPr>
        <w:t>注意事项：</w:t>
      </w:r>
      <w:r>
        <w:rPr>
          <w:rFonts w:hint="eastAsia" w:ascii="仿宋" w:hAnsi="仿宋" w:eastAsia="仿宋" w:cs="仿宋"/>
          <w:b/>
          <w:bCs w:val="0"/>
          <w:sz w:val="24"/>
          <w:szCs w:val="24"/>
          <w:lang w:eastAsia="zh-CN"/>
        </w:rPr>
        <w:t>未尽事宜，以《中国太平洋财产保险股份有限公司“防贫保”团体人身医疗保险(扶贫专用)条款》《“防贫保”团体人身医疗保险(扶贫专用)附加住院津贴保险条款》《“防盆保”团体人身医疗保险(扶贫专用)附加门诊医疗费用保险条款》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
    <w:altName w:val="Cambria"/>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B1824BD"/>
    <w:rsid w:val="0B1824BD"/>
    <w:rsid w:val="10243E04"/>
    <w:rsid w:val="2ADA715C"/>
    <w:rsid w:val="2E8B125B"/>
    <w:rsid w:val="2EB86D24"/>
    <w:rsid w:val="58BA0B67"/>
    <w:rsid w:val="5F032C0B"/>
    <w:rsid w:val="6BAE503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3">
    <w:name w:val="Body Text Indent"/>
    <w:basedOn w:val="1"/>
    <w:next w:val="4"/>
    <w:qFormat/>
    <w:uiPriority w:val="0"/>
    <w:pPr>
      <w:ind w:firstLine="360"/>
      <w:jc w:val="left"/>
    </w:pPr>
    <w:rPr>
      <w:rFonts w:eastAsia="楷体_GB2312"/>
    </w:rPr>
  </w:style>
  <w:style w:type="paragraph" w:customStyle="1" w:styleId="4">
    <w:name w:val="正文文本首行缩进 2"/>
    <w:basedOn w:val="3"/>
    <w:qFormat/>
    <w:uiPriority w:val="99"/>
    <w:pPr>
      <w:spacing w:line="200" w:lineRule="atLeast"/>
      <w:ind w:firstLine="420"/>
    </w:pPr>
    <w:rPr>
      <w:rFonts w:ascii="宋体" w:hAnsi="Courier New"/>
      <w:spacing w:val="-4"/>
      <w:sz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2021-02-07T07:51:00Z</dcterms:created>
  <dc:creator>朱慧</dc:creator>
  <cp:lastModifiedBy>钟增凯</cp:lastModifiedBy>
  <dcterms:modified xsi:type="dcterms:W3CDTF">2021-02-07T08:42:33Z</dcterms:modified>
  <dc:title>余杭区低收入农户医疗补充政策性保险方案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