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_GBK" w:hAnsi="方正小标宋_GBK" w:eastAsia="方正小标宋_GBK" w:cs="方正小标宋_GBK"/>
          <w:b w:val="0"/>
          <w:bCs w:val="0"/>
          <w:color w:val="333333"/>
          <w:kern w:val="0"/>
          <w:sz w:val="44"/>
          <w:szCs w:val="44"/>
        </w:rPr>
      </w:pPr>
      <w:r>
        <w:rPr>
          <w:rFonts w:hint="eastAsia" w:ascii="方正小标宋_GBK" w:hAnsi="方正小标宋_GBK" w:eastAsia="方正小标宋_GBK" w:cs="方正小标宋_GBK"/>
          <w:b w:val="0"/>
          <w:bCs w:val="0"/>
          <w:color w:val="333333"/>
          <w:kern w:val="0"/>
          <w:sz w:val="44"/>
          <w:szCs w:val="44"/>
          <w:lang w:val="en-US" w:eastAsia="zh-CN"/>
        </w:rPr>
        <w:t>杭州西站枢纽管理委员会</w:t>
      </w:r>
      <w:r>
        <w:rPr>
          <w:rFonts w:hint="eastAsia" w:ascii="方正小标宋_GBK" w:hAnsi="方正小标宋_GBK" w:eastAsia="方正小标宋_GBK" w:cs="方正小标宋_GBK"/>
          <w:b w:val="0"/>
          <w:bCs w:val="0"/>
          <w:color w:val="333333"/>
          <w:kern w:val="0"/>
          <w:sz w:val="44"/>
          <w:szCs w:val="44"/>
        </w:rPr>
        <w:t>202</w:t>
      </w:r>
      <w:r>
        <w:rPr>
          <w:rFonts w:hint="eastAsia" w:ascii="方正小标宋_GBK" w:hAnsi="方正小标宋_GBK" w:eastAsia="方正小标宋_GBK" w:cs="方正小标宋_GBK"/>
          <w:b w:val="0"/>
          <w:bCs w:val="0"/>
          <w:color w:val="333333"/>
          <w:kern w:val="0"/>
          <w:sz w:val="44"/>
          <w:szCs w:val="44"/>
          <w:lang w:val="en-US" w:eastAsia="zh-CN"/>
        </w:rPr>
        <w:t>3</w:t>
      </w:r>
      <w:r>
        <w:rPr>
          <w:rFonts w:hint="eastAsia" w:ascii="方正小标宋_GBK" w:hAnsi="方正小标宋_GBK" w:eastAsia="方正小标宋_GBK" w:cs="方正小标宋_GBK"/>
          <w:b w:val="0"/>
          <w:bCs w:val="0"/>
          <w:color w:val="333333"/>
          <w:kern w:val="0"/>
          <w:sz w:val="44"/>
          <w:szCs w:val="44"/>
        </w:rPr>
        <w:t>年度政府信息公开工作年度报告</w:t>
      </w:r>
      <w:bookmarkStart w:id="0" w:name="_GoBack"/>
      <w:bookmarkEnd w:id="0"/>
    </w:p>
    <w:p>
      <w:pPr>
        <w:widowControl/>
        <w:shd w:val="clear" w:color="auto" w:fill="FFFFFF"/>
        <w:jc w:val="center"/>
        <w:rPr>
          <w:rFonts w:hint="eastAsia" w:ascii="仿宋_GB2312" w:hAnsi="仿宋_GB2312" w:eastAsia="仿宋_GB2312" w:cs="仿宋_GB2312"/>
          <w:b/>
          <w:bCs/>
          <w:color w:val="333333"/>
          <w:kern w:val="0"/>
          <w:sz w:val="36"/>
          <w:szCs w:val="36"/>
        </w:rPr>
      </w:pPr>
    </w:p>
    <w:p>
      <w:pPr>
        <w:widowControl/>
        <w:shd w:val="clear" w:color="auto" w:fill="FFFFFF"/>
        <w:ind w:firstLine="480"/>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i w:val="0"/>
          <w:caps w:val="0"/>
          <w:color w:val="333333"/>
          <w:spacing w:val="0"/>
          <w:sz w:val="32"/>
          <w:szCs w:val="32"/>
          <w:shd w:val="clear" w:color="auto" w:fill="FFFFFF"/>
        </w:rPr>
        <w:t>根据《中华人民共和国政府信息公开条例》，特向社会公布</w:t>
      </w:r>
      <w:r>
        <w:rPr>
          <w:rFonts w:hint="eastAsia" w:ascii="仿宋_GB2312" w:hAnsi="仿宋_GB2312" w:eastAsia="仿宋_GB2312" w:cs="仿宋_GB2312"/>
          <w:b w:val="0"/>
          <w:bCs w:val="0"/>
          <w:color w:val="333333"/>
          <w:kern w:val="0"/>
          <w:sz w:val="32"/>
          <w:szCs w:val="32"/>
          <w:lang w:val="en-US" w:eastAsia="zh-CN"/>
        </w:rPr>
        <w:t>杭州西站枢纽管理委员会</w:t>
      </w:r>
      <w:r>
        <w:rPr>
          <w:rFonts w:hint="eastAsia" w:ascii="仿宋_GB2312" w:hAnsi="仿宋_GB2312" w:eastAsia="仿宋_GB2312" w:cs="仿宋_GB2312"/>
          <w:b w:val="0"/>
          <w:bCs w:val="0"/>
          <w:i w:val="0"/>
          <w:caps w:val="0"/>
          <w:color w:val="333333"/>
          <w:spacing w:val="0"/>
          <w:sz w:val="32"/>
          <w:szCs w:val="32"/>
          <w:shd w:val="clear" w:color="auto" w:fill="FFFFFF"/>
        </w:rPr>
        <w:t>202</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333333"/>
          <w:spacing w:val="0"/>
          <w:sz w:val="32"/>
          <w:szCs w:val="32"/>
          <w:shd w:val="clear" w:color="auto" w:fill="FFFFFF"/>
        </w:rPr>
        <w:t>年度政府信息公开工作年度报告。本报告由总体情况、主动公开政府信息情况等六个部分组成。本报告中所列数据的统计期限自202</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333333"/>
          <w:spacing w:val="0"/>
          <w:sz w:val="32"/>
          <w:szCs w:val="32"/>
          <w:shd w:val="clear" w:color="auto" w:fill="FFFFFF"/>
        </w:rPr>
        <w:t>年1月1日起至202</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333333"/>
          <w:spacing w:val="0"/>
          <w:sz w:val="32"/>
          <w:szCs w:val="32"/>
          <w:shd w:val="clear" w:color="auto" w:fill="FFFFFF"/>
        </w:rPr>
        <w:t>年12月31日止。</w:t>
      </w:r>
    </w:p>
    <w:p>
      <w:pPr>
        <w:widowControl/>
        <w:numPr>
          <w:ilvl w:val="0"/>
          <w:numId w:val="1"/>
        </w:numPr>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总体情况</w:t>
      </w:r>
    </w:p>
    <w:p>
      <w:pPr>
        <w:widowControl/>
        <w:numPr>
          <w:ilvl w:val="0"/>
          <w:numId w:val="0"/>
        </w:numPr>
        <w:shd w:val="clear" w:color="auto" w:fill="FFFFFF"/>
        <w:rPr>
          <w:rFonts w:hint="eastAsia" w:ascii="仿宋_GB2312" w:hAnsi="仿宋_GB2312" w:eastAsia="仿宋_GB2312" w:cs="仿宋_GB2312"/>
          <w:b/>
          <w:bCs/>
          <w:color w:val="333333"/>
          <w:kern w:val="0"/>
          <w:sz w:val="27"/>
          <w:szCs w:val="27"/>
          <w:lang w:eastAsia="zh-CN"/>
        </w:rPr>
      </w:pPr>
      <w:r>
        <w:rPr>
          <w:rFonts w:hint="eastAsia" w:ascii="微软雅黑" w:hAnsi="微软雅黑" w:eastAsia="微软雅黑" w:cs="微软雅黑"/>
          <w:i w:val="0"/>
          <w:caps w:val="0"/>
          <w:color w:val="030303"/>
          <w:spacing w:val="0"/>
          <w:sz w:val="21"/>
          <w:szCs w:val="21"/>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rPr>
        <w:t>202</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333333"/>
          <w:spacing w:val="0"/>
          <w:sz w:val="32"/>
          <w:szCs w:val="32"/>
          <w:shd w:val="clear" w:color="auto" w:fill="FFFFFF"/>
        </w:rPr>
        <w:t>年，</w:t>
      </w:r>
      <w:r>
        <w:rPr>
          <w:rFonts w:hint="eastAsia" w:ascii="仿宋_GB2312" w:hAnsi="仿宋_GB2312" w:eastAsia="仿宋_GB2312" w:cs="仿宋_GB2312"/>
          <w:b w:val="0"/>
          <w:bCs w:val="0"/>
          <w:i w:val="0"/>
          <w:caps w:val="0"/>
          <w:color w:val="333333"/>
          <w:spacing w:val="0"/>
          <w:sz w:val="32"/>
          <w:szCs w:val="32"/>
          <w:shd w:val="clear" w:color="auto" w:fill="FFFFFF"/>
          <w:lang w:eastAsia="zh-CN"/>
        </w:rPr>
        <w:t>西站枢纽管委会</w:t>
      </w:r>
      <w:r>
        <w:rPr>
          <w:rFonts w:hint="eastAsia" w:ascii="仿宋_GB2312" w:hAnsi="仿宋_GB2312" w:eastAsia="仿宋_GB2312" w:cs="仿宋_GB2312"/>
          <w:b w:val="0"/>
          <w:bCs w:val="0"/>
          <w:i w:val="0"/>
          <w:caps w:val="0"/>
          <w:color w:val="333333"/>
          <w:spacing w:val="0"/>
          <w:sz w:val="32"/>
          <w:szCs w:val="32"/>
          <w:shd w:val="clear" w:color="auto" w:fill="FFFFFF"/>
        </w:rPr>
        <w:t>全面贯彻《中华人民共和国政府信息公开条例》、《浙江省政府信息公开暂行办法》，坚持“公开为常态、不公开为例外”的原则</w:t>
      </w:r>
      <w:r>
        <w:rPr>
          <w:rFonts w:hint="eastAsia" w:ascii="仿宋_GB2312" w:hAnsi="仿宋_GB2312" w:eastAsia="仿宋_GB2312" w:cs="仿宋_GB2312"/>
          <w:b w:val="0"/>
          <w:bCs w:val="0"/>
          <w:i w:val="0"/>
          <w:caps w:val="0"/>
          <w:color w:val="333333"/>
          <w:spacing w:val="0"/>
          <w:sz w:val="32"/>
          <w:szCs w:val="32"/>
          <w:shd w:val="clear" w:color="auto" w:fill="FFFFFF"/>
          <w:lang w:eastAsia="zh-CN"/>
        </w:rPr>
        <w:t>，</w:t>
      </w:r>
      <w:r>
        <w:rPr>
          <w:rFonts w:hint="eastAsia" w:ascii="仿宋_GB2312" w:hAnsi="仿宋_GB2312" w:eastAsia="仿宋_GB2312" w:cs="仿宋_GB2312"/>
          <w:b w:val="0"/>
          <w:bCs w:val="0"/>
          <w:i w:val="0"/>
          <w:caps w:val="0"/>
          <w:color w:val="333333"/>
          <w:spacing w:val="0"/>
          <w:sz w:val="32"/>
          <w:szCs w:val="32"/>
          <w:shd w:val="clear" w:color="auto" w:fill="FFFFFF"/>
        </w:rPr>
        <w:t>认真落实区政府关于政府信息公开工作相关要求，扎实推进政府信息公开工作</w:t>
      </w:r>
      <w:r>
        <w:rPr>
          <w:rFonts w:hint="eastAsia" w:ascii="仿宋_GB2312" w:hAnsi="仿宋_GB2312" w:eastAsia="仿宋_GB2312" w:cs="仿宋_GB2312"/>
          <w:b w:val="0"/>
          <w:bCs w:val="0"/>
          <w:i w:val="0"/>
          <w:caps w:val="0"/>
          <w:color w:val="333333"/>
          <w:spacing w:val="0"/>
          <w:sz w:val="32"/>
          <w:szCs w:val="32"/>
          <w:shd w:val="clear" w:color="auto" w:fill="FFFFFF"/>
          <w:lang w:eastAsia="zh-CN"/>
        </w:rPr>
        <w:t>，</w:t>
      </w:r>
      <w:r>
        <w:rPr>
          <w:rFonts w:hint="eastAsia" w:ascii="仿宋_GB2312" w:hAnsi="仿宋_GB2312" w:eastAsia="仿宋_GB2312" w:cs="仿宋_GB2312"/>
          <w:b w:val="0"/>
          <w:bCs w:val="0"/>
          <w:i w:val="0"/>
          <w:caps w:val="0"/>
          <w:color w:val="333333"/>
          <w:spacing w:val="0"/>
          <w:sz w:val="32"/>
          <w:szCs w:val="32"/>
          <w:shd w:val="clear" w:color="auto" w:fill="FFFFFF"/>
        </w:rPr>
        <w:t>结合本年度工作实际，特编制杭州西站枢纽管理委员会2023年度政府信息公开工作年度报告，并向社会公布。</w:t>
      </w:r>
    </w:p>
    <w:p>
      <w:pPr>
        <w:widowControl/>
        <w:shd w:val="clear" w:color="auto" w:fill="FFFFFF"/>
        <w:ind w:firstLine="48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（一）主动公开</w:t>
      </w:r>
    </w:p>
    <w:p>
      <w:pPr>
        <w:widowControl/>
        <w:numPr>
          <w:ilvl w:val="0"/>
          <w:numId w:val="0"/>
        </w:numPr>
        <w:shd w:val="clear" w:color="auto" w:fill="FFFFFF"/>
        <w:rPr>
          <w:rFonts w:hint="eastAsia" w:ascii="仿宋_GB2312" w:hAnsi="仿宋_GB2312" w:eastAsia="仿宋_GB2312" w:cs="仿宋_GB2312"/>
          <w:b w:val="0"/>
          <w:bCs w:val="0"/>
          <w:i w:val="0"/>
          <w:caps w:val="0"/>
          <w:color w:val="333333"/>
          <w:spacing w:val="0"/>
          <w:sz w:val="32"/>
          <w:szCs w:val="32"/>
          <w:shd w:val="clear" w:color="auto" w:fill="FFFFFF"/>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rPr>
        <w:t> 坚持以群众需求为导向，按照“应公开、尽公开”</w:t>
      </w:r>
      <w:r>
        <w:rPr>
          <w:rFonts w:hint="eastAsia" w:ascii="仿宋_GB2312" w:hAnsi="仿宋_GB2312" w:eastAsia="仿宋_GB2312" w:cs="仿宋_GB2312"/>
          <w:b w:val="0"/>
          <w:bCs w:val="0"/>
          <w:i w:val="0"/>
          <w:caps w:val="0"/>
          <w:color w:val="333333"/>
          <w:spacing w:val="0"/>
          <w:sz w:val="32"/>
          <w:szCs w:val="32"/>
          <w:shd w:val="clear" w:color="auto" w:fill="FFFFFF"/>
          <w:lang w:eastAsia="zh-CN"/>
        </w:rPr>
        <w:t>原则</w:t>
      </w:r>
      <w:r>
        <w:rPr>
          <w:rFonts w:hint="eastAsia" w:ascii="仿宋_GB2312" w:hAnsi="仿宋_GB2312" w:eastAsia="仿宋_GB2312" w:cs="仿宋_GB2312"/>
          <w:b w:val="0"/>
          <w:bCs w:val="0"/>
          <w:i w:val="0"/>
          <w:caps w:val="0"/>
          <w:color w:val="333333"/>
          <w:spacing w:val="0"/>
          <w:sz w:val="32"/>
          <w:szCs w:val="32"/>
          <w:shd w:val="clear" w:color="auto" w:fill="FFFFFF"/>
        </w:rPr>
        <w:t>，通过政府门户网站、政务新媒体全面公开工作动态</w:t>
      </w:r>
      <w:r>
        <w:rPr>
          <w:rFonts w:hint="eastAsia" w:ascii="仿宋_GB2312" w:hAnsi="仿宋_GB2312" w:eastAsia="仿宋_GB2312" w:cs="仿宋_GB2312"/>
          <w:b w:val="0"/>
          <w:bCs w:val="0"/>
          <w:i w:val="0"/>
          <w:caps w:val="0"/>
          <w:color w:val="333333"/>
          <w:spacing w:val="0"/>
          <w:sz w:val="32"/>
          <w:szCs w:val="32"/>
          <w:shd w:val="clear" w:color="auto" w:fill="FFFFFF"/>
          <w:lang w:eastAsia="zh-CN"/>
        </w:rPr>
        <w:t>。在</w:t>
      </w:r>
      <w:r>
        <w:rPr>
          <w:rFonts w:hint="eastAsia" w:ascii="仿宋_GB2312" w:hAnsi="仿宋_GB2312" w:eastAsia="仿宋_GB2312" w:cs="仿宋_GB2312"/>
          <w:b w:val="0"/>
          <w:bCs w:val="0"/>
          <w:i w:val="0"/>
          <w:caps w:val="0"/>
          <w:color w:val="333333"/>
          <w:spacing w:val="0"/>
          <w:sz w:val="32"/>
          <w:szCs w:val="32"/>
          <w:shd w:val="clear" w:color="auto" w:fill="FFFFFF"/>
        </w:rPr>
        <w:t>“杭州余杭”门户网站共</w:t>
      </w:r>
      <w:r>
        <w:rPr>
          <w:rFonts w:hint="eastAsia" w:ascii="仿宋_GB2312" w:hAnsi="仿宋_GB2312" w:eastAsia="仿宋_GB2312" w:cs="仿宋_GB2312"/>
          <w:b w:val="0"/>
          <w:bCs w:val="0"/>
          <w:i w:val="0"/>
          <w:caps w:val="0"/>
          <w:color w:val="333333"/>
          <w:spacing w:val="0"/>
          <w:sz w:val="32"/>
          <w:szCs w:val="32"/>
          <w:shd w:val="clear" w:color="auto" w:fill="FFFFFF"/>
          <w:lang w:eastAsia="zh-CN"/>
        </w:rPr>
        <w:t>计</w:t>
      </w:r>
      <w:r>
        <w:rPr>
          <w:rFonts w:hint="eastAsia" w:ascii="仿宋_GB2312" w:hAnsi="仿宋_GB2312" w:eastAsia="仿宋_GB2312" w:cs="仿宋_GB2312"/>
          <w:b w:val="0"/>
          <w:bCs w:val="0"/>
          <w:i w:val="0"/>
          <w:caps w:val="0"/>
          <w:color w:val="333333"/>
          <w:spacing w:val="0"/>
          <w:sz w:val="32"/>
          <w:szCs w:val="32"/>
          <w:shd w:val="clear" w:color="auto" w:fill="FFFFFF"/>
        </w:rPr>
        <w:t>公开政府信息</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33</w:t>
      </w:r>
      <w:r>
        <w:rPr>
          <w:rFonts w:hint="eastAsia" w:ascii="仿宋_GB2312" w:hAnsi="仿宋_GB2312" w:eastAsia="仿宋_GB2312" w:cs="仿宋_GB2312"/>
          <w:b w:val="0"/>
          <w:bCs w:val="0"/>
          <w:i w:val="0"/>
          <w:caps w:val="0"/>
          <w:color w:val="333333"/>
          <w:spacing w:val="0"/>
          <w:sz w:val="32"/>
          <w:szCs w:val="32"/>
          <w:shd w:val="clear" w:color="auto" w:fill="FFFFFF"/>
        </w:rPr>
        <w:t>条，其中</w:t>
      </w:r>
      <w:r>
        <w:rPr>
          <w:rFonts w:hint="eastAsia" w:ascii="仿宋_GB2312" w:hAnsi="仿宋_GB2312" w:eastAsia="仿宋_GB2312" w:cs="仿宋_GB2312"/>
          <w:b w:val="0"/>
          <w:bCs w:val="0"/>
          <w:i w:val="0"/>
          <w:caps w:val="0"/>
          <w:color w:val="333333"/>
          <w:spacing w:val="0"/>
          <w:sz w:val="32"/>
          <w:szCs w:val="32"/>
          <w:shd w:val="clear" w:color="auto" w:fill="FFFFFF"/>
          <w:lang w:eastAsia="zh-CN"/>
        </w:rPr>
        <w:t>部门文件</w:t>
      </w:r>
      <w:r>
        <w:rPr>
          <w:rFonts w:hint="eastAsia" w:ascii="仿宋_GB2312" w:hAnsi="仿宋_GB2312" w:eastAsia="仿宋_GB2312" w:cs="仿宋_GB2312"/>
          <w:b w:val="0"/>
          <w:bCs w:val="0"/>
          <w:i w:val="0"/>
          <w:caps w:val="0"/>
          <w:color w:val="333333"/>
          <w:spacing w:val="0"/>
          <w:sz w:val="32"/>
          <w:szCs w:val="32"/>
          <w:shd w:val="clear" w:color="auto" w:fill="FFFFFF"/>
        </w:rPr>
        <w:t>1条、财政信息</w:t>
      </w:r>
      <w:r>
        <w:rPr>
          <w:rFonts w:hint="eastAsia" w:ascii="仿宋_GB2312" w:hAnsi="仿宋_GB2312" w:eastAsia="仿宋_GB2312" w:cs="仿宋_GB2312"/>
          <w:b w:val="0"/>
          <w:bCs w:val="0"/>
          <w:i w:val="0"/>
          <w:caps w:val="0"/>
          <w:color w:val="333333"/>
          <w:spacing w:val="0"/>
          <w:sz w:val="32"/>
          <w:szCs w:val="32"/>
          <w:shd w:val="clear" w:color="auto" w:fill="FFFFFF"/>
          <w:lang w:eastAsia="zh-CN"/>
        </w:rPr>
        <w:t>部门</w:t>
      </w:r>
      <w:r>
        <w:rPr>
          <w:rFonts w:hint="eastAsia" w:ascii="仿宋_GB2312" w:hAnsi="仿宋_GB2312" w:eastAsia="仿宋_GB2312" w:cs="仿宋_GB2312"/>
          <w:b w:val="0"/>
          <w:bCs w:val="0"/>
          <w:i w:val="0"/>
          <w:caps w:val="0"/>
          <w:color w:val="333333"/>
          <w:spacing w:val="0"/>
          <w:sz w:val="32"/>
          <w:szCs w:val="32"/>
          <w:shd w:val="clear" w:color="auto" w:fill="FFFFFF"/>
        </w:rPr>
        <w:t>预决算信息2条、人事信息</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w:t>
      </w:r>
      <w:r>
        <w:rPr>
          <w:rFonts w:hint="eastAsia" w:ascii="仿宋_GB2312" w:hAnsi="仿宋_GB2312" w:eastAsia="仿宋_GB2312" w:cs="仿宋_GB2312"/>
          <w:b w:val="0"/>
          <w:bCs w:val="0"/>
          <w:i w:val="0"/>
          <w:caps w:val="0"/>
          <w:color w:val="333333"/>
          <w:spacing w:val="0"/>
          <w:sz w:val="32"/>
          <w:szCs w:val="32"/>
          <w:shd w:val="clear" w:color="auto" w:fill="FFFFFF"/>
        </w:rPr>
        <w:t>条、</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招标公告</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15</w:t>
      </w:r>
      <w:r>
        <w:rPr>
          <w:rFonts w:hint="eastAsia" w:ascii="仿宋_GB2312" w:hAnsi="仿宋_GB2312" w:eastAsia="仿宋_GB2312" w:cs="仿宋_GB2312"/>
          <w:b w:val="0"/>
          <w:bCs w:val="0"/>
          <w:i w:val="0"/>
          <w:caps w:val="0"/>
          <w:color w:val="333333"/>
          <w:spacing w:val="0"/>
          <w:sz w:val="32"/>
          <w:szCs w:val="32"/>
          <w:shd w:val="clear" w:color="auto" w:fill="FFFFFF"/>
        </w:rPr>
        <w:t>条</w:t>
      </w:r>
      <w:r>
        <w:rPr>
          <w:rFonts w:hint="eastAsia" w:ascii="仿宋_GB2312" w:hAnsi="仿宋_GB2312" w:eastAsia="仿宋_GB2312" w:cs="仿宋_GB2312"/>
          <w:b w:val="0"/>
          <w:bCs w:val="0"/>
          <w:i w:val="0"/>
          <w:caps w:val="0"/>
          <w:color w:val="333333"/>
          <w:spacing w:val="0"/>
          <w:sz w:val="32"/>
          <w:szCs w:val="32"/>
          <w:shd w:val="clear" w:color="auto" w:fill="FFFFFF"/>
          <w:lang w:eastAsia="zh-CN"/>
        </w:rPr>
        <w:t>、中标公告</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14条，</w:t>
      </w:r>
      <w:r>
        <w:rPr>
          <w:rFonts w:hint="eastAsia" w:ascii="仿宋_GB2312" w:hAnsi="仿宋_GB2312" w:eastAsia="仿宋_GB2312" w:cs="仿宋_GB2312"/>
          <w:b w:val="0"/>
          <w:bCs w:val="0"/>
          <w:i w:val="0"/>
          <w:caps w:val="0"/>
          <w:color w:val="333333"/>
          <w:spacing w:val="0"/>
          <w:sz w:val="32"/>
          <w:szCs w:val="32"/>
          <w:shd w:val="clear" w:color="auto" w:fill="FFFFFF"/>
        </w:rPr>
        <w:t>动态调整政府信息公开指南、组织机构等信息</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。依托“杭州西站管委会”微信公众号发布各类信息271条，通过中央、省、市、区各级媒体共计发布报道235条，其中央媒54条、省媒78条、市媒77条，确保信息畅通。</w:t>
      </w:r>
    </w:p>
    <w:p>
      <w:pPr>
        <w:widowControl/>
        <w:shd w:val="clear" w:color="auto" w:fill="FFFFFF"/>
        <w:ind w:firstLine="48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（二）依申请公开</w:t>
      </w:r>
    </w:p>
    <w:p>
      <w:pPr>
        <w:widowControl/>
        <w:numPr>
          <w:ilvl w:val="0"/>
          <w:numId w:val="0"/>
        </w:numPr>
        <w:shd w:val="clear" w:color="auto" w:fill="FFFFFF"/>
        <w:rPr>
          <w:rFonts w:hint="eastAsia" w:ascii="仿宋_GB2312" w:hAnsi="仿宋_GB2312" w:eastAsia="仿宋_GB2312" w:cs="仿宋_GB2312"/>
          <w:sz w:val="28"/>
          <w:szCs w:val="28"/>
          <w:lang w:val="en-US" w:eastAsia="zh-CN"/>
        </w:rPr>
      </w:pPr>
      <w:r>
        <w:rPr>
          <w:rFonts w:hint="eastAsia" w:ascii="微软雅黑" w:hAnsi="微软雅黑" w:eastAsia="微软雅黑" w:cs="微软雅黑"/>
          <w:i w:val="0"/>
          <w:caps w:val="0"/>
          <w:color w:val="030303"/>
          <w:spacing w:val="0"/>
          <w:sz w:val="21"/>
          <w:szCs w:val="21"/>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本年度未收到要求公开政府信息的有效申请件。</w:t>
      </w:r>
    </w:p>
    <w:p>
      <w:pPr>
        <w:widowControl/>
        <w:shd w:val="clear" w:color="auto" w:fill="FFFFFF"/>
        <w:ind w:firstLine="48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w:t>
      </w:r>
    </w:p>
    <w:p>
      <w:pPr>
        <w:widowControl/>
        <w:numPr>
          <w:ilvl w:val="0"/>
          <w:numId w:val="0"/>
        </w:numPr>
        <w:shd w:val="clear" w:color="auto" w:fill="FFFFFF"/>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高度重视保密审查，严格落实“三审三校”制度，根据“先审查、后发布，谁公开、谁负责”、“一事一审”的原则，加大对拟公开信息的保密审查力度，确保做到公开不涉密、涉密不公开，公开的信息无错别字、错链，无敏感信息，安全可靠。</w:t>
      </w:r>
    </w:p>
    <w:p>
      <w:pPr>
        <w:widowControl/>
        <w:shd w:val="clear" w:color="auto" w:fill="FFFFFF"/>
        <w:ind w:firstLine="48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w:t>
      </w:r>
    </w:p>
    <w:p>
      <w:pPr>
        <w:widowControl/>
        <w:numPr>
          <w:ilvl w:val="0"/>
          <w:numId w:val="0"/>
        </w:numPr>
        <w:shd w:val="clear" w:color="auto" w:fill="FFFFFF"/>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严格按照政府信息公开相关要求，落实专人负责余杭区政府门户网站西站枢纽管理委员会专栏建设管理和更新维护工作，及时有效发布主动公开信息。同时，推进“杭州西站管委会”微信公众号、微博协同联动发展，围绕管委会各项中心工作开展政府信息公开。</w:t>
      </w:r>
    </w:p>
    <w:p>
      <w:pPr>
        <w:widowControl/>
        <w:shd w:val="clear" w:color="auto" w:fill="FFFFFF"/>
        <w:ind w:firstLine="48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（五）监督保障</w:t>
      </w:r>
    </w:p>
    <w:p>
      <w:pPr>
        <w:widowControl/>
        <w:numPr>
          <w:ilvl w:val="0"/>
          <w:numId w:val="0"/>
        </w:numPr>
        <w:shd w:val="clear" w:color="auto" w:fill="FFFFFF"/>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高度重视政府信息公开工作，建立工作领导小组，形成由主要领导总负责，分管负责人直接负责，两名同志兼职信息公开管理工作的工作体系。严格落实信息公开制度，加强日常监督检查，切实保证政府信息公开工作顺利开展。同时，积极落实社会评议制度，广泛听取群众意见。2023年管委会未出现因信息公开不到位需要进行责任追究的情况。</w:t>
      </w:r>
    </w:p>
    <w:p>
      <w:pPr>
        <w:widowControl/>
        <w:numPr>
          <w:ilvl w:val="0"/>
          <w:numId w:val="1"/>
        </w:numPr>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bl>
    <w:p>
      <w:pPr>
        <w:widowControl/>
        <w:numPr>
          <w:ilvl w:val="0"/>
          <w:numId w:val="1"/>
        </w:numPr>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收到和处理政府信息公开申请情况</w:t>
      </w:r>
    </w:p>
    <w:tbl>
      <w:tblPr>
        <w:tblStyle w:val="7"/>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商业</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科研</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0"/>
                <w:szCs w:val="20"/>
                <w:lang w:val="en-US" w:eastAsia="zh-CN"/>
              </w:rPr>
            </w:pP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 xml:space="preserve">  0</w:t>
            </w:r>
            <w:r>
              <w:rPr>
                <w:rFonts w:hint="eastAsia" w:ascii="仿宋_GB2312" w:hAnsi="仿宋_GB2312" w:eastAsia="仿宋_GB2312" w:cs="仿宋_GB2312"/>
                <w:kern w:val="0"/>
                <w:sz w:val="20"/>
                <w:szCs w:val="20"/>
              </w:rPr>
              <w:t> </w:t>
            </w:r>
          </w:p>
        </w:tc>
      </w:tr>
    </w:tbl>
    <w:p>
      <w:pPr>
        <w:widowControl/>
        <w:numPr>
          <w:ilvl w:val="0"/>
          <w:numId w:val="1"/>
        </w:numPr>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政府信息公开行政复议、行政诉讼情况</w:t>
      </w:r>
    </w:p>
    <w:tbl>
      <w:tblPr>
        <w:tblStyle w:val="7"/>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 xml:space="preserve"> 0</w:t>
            </w:r>
          </w:p>
        </w:tc>
      </w:tr>
    </w:tbl>
    <w:p>
      <w:pPr>
        <w:widowControl/>
        <w:numPr>
          <w:ilvl w:val="0"/>
          <w:numId w:val="1"/>
        </w:numPr>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存在的主要问题及改进情况</w:t>
      </w:r>
    </w:p>
    <w:p>
      <w:pPr>
        <w:widowControl/>
        <w:numPr>
          <w:ilvl w:val="0"/>
          <w:numId w:val="0"/>
        </w:numPr>
        <w:shd w:val="clear" w:color="auto" w:fill="FFFFFF"/>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2023年西站枢纽管委会政务公开工作取得一定成绩，但同时也存在一些不足。例如，信息公开内容不够丰富全面，信息公开广度、深度、力度和频率还要进一步提高；日常监督不够细致，部分主动公开信息中出现隐藏信息等。</w:t>
      </w:r>
    </w:p>
    <w:p>
      <w:pPr>
        <w:widowControl/>
        <w:numPr>
          <w:ilvl w:val="0"/>
          <w:numId w:val="0"/>
        </w:numPr>
        <w:shd w:val="clear" w:color="auto" w:fill="FFFFFF"/>
        <w:ind w:firstLine="640" w:firstLineChars="200"/>
        <w:rPr>
          <w:rFonts w:hint="eastAsia"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下一步，主要从三方面着手加以改进：一是进一步加强对信息发布内容的审核力度，严格落实信息发布三审三校制度；二是加强对工作人员培养，更熟练掌握网站信息发布流程，完善信息发布工作，进一步提高工作人员发布信息、政策解读、回应关切的能力；三是拓宽公开渠道，丰富宣传形式，进一步拓展政务新媒体对优质内容的深度挖掘。</w:t>
      </w:r>
    </w:p>
    <w:p>
      <w:pPr>
        <w:widowControl/>
        <w:numPr>
          <w:ilvl w:val="0"/>
          <w:numId w:val="1"/>
        </w:numPr>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其他需要报告的事项</w:t>
      </w:r>
    </w:p>
    <w:p>
      <w:pPr>
        <w:widowControl w:val="0"/>
        <w:wordWrap/>
        <w:adjustRightInd/>
        <w:snapToGrid/>
        <w:spacing w:line="570" w:lineRule="exact"/>
        <w:jc w:val="left"/>
        <w:textAlignment w:val="auto"/>
        <w:rPr>
          <w:rFonts w:hint="eastAsia" w:ascii="方正小标宋_GBK" w:hAnsi="方正小标宋_GBK" w:eastAsia="方正小标宋_GBK" w:cs="方正小标宋_GBK"/>
          <w:sz w:val="44"/>
          <w:szCs w:val="44"/>
          <w:lang w:val="en-US" w:eastAsia="zh-CN"/>
        </w:rPr>
      </w:pPr>
      <w:r>
        <w:rPr>
          <w:rFonts w:hint="eastAsia" w:ascii="微软雅黑" w:hAnsi="微软雅黑" w:eastAsia="微软雅黑" w:cs="微软雅黑"/>
          <w:i w:val="0"/>
          <w:caps w:val="0"/>
          <w:color w:val="030303"/>
          <w:spacing w:val="0"/>
          <w:sz w:val="21"/>
          <w:szCs w:val="21"/>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本单位2023年未收取信息处理费。</w:t>
      </w: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p>
      <w:pPr>
        <w:widowControl w:val="0"/>
        <w:wordWrap/>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p>
    <w:sectPr>
      <w:headerReference r:id="rId3" w:type="default"/>
      <w:footerReference r:id="rId4" w:type="default"/>
      <w:pgSz w:w="11906" w:h="16838"/>
      <w:pgMar w:top="2098" w:right="1474" w:bottom="1984" w:left="1587"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_x0000_s2049"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94BE91"/>
    <w:multiLevelType w:val="singleLevel"/>
    <w:tmpl w:val="6594BE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DgzMWRhYzkzODI4M2E0NmQyYzgwMjZkMzM4OTBkZWYifQ=="/>
  </w:docVars>
  <w:rsids>
    <w:rsidRoot w:val="00000000"/>
    <w:rsid w:val="02AC5A72"/>
    <w:rsid w:val="03131BE1"/>
    <w:rsid w:val="0C020FC2"/>
    <w:rsid w:val="13F83651"/>
    <w:rsid w:val="18347B85"/>
    <w:rsid w:val="18464840"/>
    <w:rsid w:val="1B577784"/>
    <w:rsid w:val="1C9706F7"/>
    <w:rsid w:val="1DAE6980"/>
    <w:rsid w:val="1F9B4A39"/>
    <w:rsid w:val="245109A3"/>
    <w:rsid w:val="26AB5818"/>
    <w:rsid w:val="277F0B5A"/>
    <w:rsid w:val="2C2B4A06"/>
    <w:rsid w:val="2F172E4F"/>
    <w:rsid w:val="31287CCA"/>
    <w:rsid w:val="31C02DAE"/>
    <w:rsid w:val="3AD0644B"/>
    <w:rsid w:val="3B403E51"/>
    <w:rsid w:val="3BDA7340"/>
    <w:rsid w:val="3D965098"/>
    <w:rsid w:val="446563A6"/>
    <w:rsid w:val="497C50C6"/>
    <w:rsid w:val="4B691746"/>
    <w:rsid w:val="50261E3F"/>
    <w:rsid w:val="553E6869"/>
    <w:rsid w:val="5ACD2D08"/>
    <w:rsid w:val="5DB23A65"/>
    <w:rsid w:val="5DE55498"/>
    <w:rsid w:val="63F0428F"/>
    <w:rsid w:val="64236257"/>
    <w:rsid w:val="671D62FF"/>
    <w:rsid w:val="67305EDA"/>
    <w:rsid w:val="67FC31E0"/>
    <w:rsid w:val="69455B59"/>
    <w:rsid w:val="6A8504D0"/>
    <w:rsid w:val="6ED66D0D"/>
    <w:rsid w:val="6FB026CC"/>
    <w:rsid w:val="75051CD3"/>
    <w:rsid w:val="780F0F07"/>
    <w:rsid w:val="784173A2"/>
    <w:rsid w:val="7A7206F1"/>
    <w:rsid w:val="7CB765E5"/>
    <w:rsid w:val="7E713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1128</Words>
  <Characters>1222</Characters>
  <Lines>0</Lines>
  <Paragraphs>0</Paragraphs>
  <TotalTime>0</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2023-01-09T14:05:00Z</dcterms:created>
  <dc:creator>lenovo</dc:creator>
  <cp:lastModifiedBy>huaweii</cp:lastModifiedBy>
  <cp:lastPrinted>2024-01-08T10:20:00Z</cp:lastPrinted>
  <dcterms:modified xsi:type="dcterms:W3CDTF">2024-01-11T11:07:52Z</dcterms:modified>
  <dc:title>政府信息公开工作年度报告按照国办公开办函〔2021〕30号文件要求的统一格式发布，与往年年报内容不得雷同。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06EB3DCBAB1D49878785ADFE14E26523_13</vt:lpwstr>
  </property>
</Properties>
</file>