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bookmarkStart w:id="558" w:name="_GoBack"/>
      <w:bookmarkEnd w:id="558"/>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highlight w:val="yellow"/>
        </w:rPr>
      </w:pPr>
    </w:p>
    <w:p>
      <w:pPr>
        <w:adjustRightInd/>
        <w:spacing w:line="360" w:lineRule="auto"/>
        <w:jc w:val="center"/>
        <w:rPr>
          <w:rFonts w:ascii="仿宋" w:hAnsi="仿宋" w:eastAsia="仿宋" w:cs="仿宋_GB2312"/>
          <w:sz w:val="48"/>
          <w:szCs w:val="48"/>
          <w:highlight w:val="yellow"/>
        </w:rPr>
      </w:pPr>
      <w:r>
        <w:rPr>
          <w:rFonts w:hint="eastAsia" w:ascii="仿宋" w:hAnsi="仿宋" w:eastAsia="仿宋" w:cs="仿宋_GB2312"/>
          <w:sz w:val="48"/>
          <w:szCs w:val="48"/>
        </w:rPr>
        <w:t>余杭区永乐综合楼修缮工程电梯采购项目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28"/>
          <w:szCs w:val="20"/>
        </w:rPr>
      </w:pPr>
      <w:r>
        <w:rPr>
          <w:rFonts w:hint="eastAsia" w:ascii="仿宋" w:hAnsi="仿宋" w:eastAsia="仿宋" w:cs="仿宋_GB2312"/>
          <w:sz w:val="30"/>
          <w:szCs w:val="30"/>
        </w:rPr>
        <w:t>项目编号</w:t>
      </w:r>
      <w:r>
        <w:rPr>
          <w:rFonts w:ascii="仿宋" w:hAnsi="仿宋" w:eastAsia="仿宋" w:cs="仿宋_GB2312"/>
          <w:sz w:val="30"/>
          <w:szCs w:val="30"/>
        </w:rPr>
        <w:t>:</w:t>
      </w:r>
      <w:r>
        <w:rPr>
          <w:rFonts w:hint="eastAsia"/>
        </w:rPr>
        <w:t xml:space="preserve"> </w:t>
      </w:r>
      <w:r>
        <w:rPr>
          <w:rFonts w:hint="eastAsia" w:ascii="仿宋" w:hAnsi="仿宋" w:eastAsia="仿宋" w:cs="仿宋_GB2312"/>
          <w:sz w:val="30"/>
          <w:szCs w:val="30"/>
        </w:rPr>
        <w:t>HZYHZFCG-2022-013</w:t>
      </w: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杭州市余杭区机关事务服务中心</w:t>
      </w:r>
    </w:p>
    <w:p>
      <w:pPr>
        <w:snapToGrid w:val="0"/>
        <w:spacing w:line="360" w:lineRule="auto"/>
        <w:jc w:val="center"/>
        <w:rPr>
          <w:rFonts w:ascii="仿宋" w:hAnsi="仿宋" w:eastAsia="仿宋" w:cs="仿宋"/>
          <w:color w:val="000000"/>
          <w:sz w:val="32"/>
          <w:szCs w:val="32"/>
        </w:rPr>
      </w:pPr>
      <w:r>
        <w:rPr>
          <w:rFonts w:hint="eastAsia" w:ascii="仿宋" w:hAnsi="仿宋" w:eastAsia="仿宋" w:cs="仿宋"/>
          <w:color w:val="000000"/>
          <w:sz w:val="32"/>
          <w:szCs w:val="32"/>
        </w:rPr>
        <w:t>杭州市公共资源交易中心余杭分中心</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eastAsia="仿宋_GB2312" w:cs="宋体"/>
          <w:bCs/>
          <w:sz w:val="32"/>
          <w:szCs w:val="32"/>
        </w:rPr>
        <w:t>二</w:t>
      </w:r>
      <w:r>
        <w:rPr>
          <w:rFonts w:hint="eastAsia" w:ascii="仿宋_GB2312" w:hAnsi="仿宋_GB2312" w:eastAsia="仿宋_GB2312" w:cs="仿宋_GB2312"/>
          <w:bCs/>
          <w:sz w:val="32"/>
          <w:szCs w:val="32"/>
        </w:rPr>
        <w:t>年五月十六日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余杭区永乐综合楼修缮工程电梯采购项目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"https://www.zcygov.cn/）获取（下载）招标文件，并于2022年6月6日13点30分00秒" </w:instrText>
      </w:r>
      <w:r>
        <w:fldChar w:fldCharType="separate"/>
      </w:r>
      <w:r>
        <w:rPr>
          <w:rStyle w:val="76"/>
          <w:rFonts w:ascii="仿宋_GB2312" w:hAnsi="仿宋" w:eastAsia="仿宋_GB2312" w:cs="Times New Roman"/>
          <w:kern w:val="2"/>
          <w:sz w:val="24"/>
          <w:szCs w:val="24"/>
        </w:rPr>
        <w:t>https://www.zcygov.cn/）获取（下载）招标文件，并于</w:t>
      </w:r>
      <w:r>
        <w:rPr>
          <w:rStyle w:val="76"/>
          <w:rFonts w:hint="eastAsia" w:ascii="仿宋_GB2312" w:hAnsi="仿宋" w:eastAsia="仿宋_GB2312" w:cs="Times New Roman"/>
          <w:snapToGrid/>
          <w:kern w:val="2"/>
          <w:sz w:val="24"/>
          <w:szCs w:val="24"/>
        </w:rPr>
        <w:t>2022</w:t>
      </w:r>
      <w:r>
        <w:rPr>
          <w:rStyle w:val="76"/>
          <w:rFonts w:ascii="仿宋_GB2312" w:hAnsi="仿宋" w:eastAsia="仿宋_GB2312" w:cs="Times New Roman"/>
          <w:snapToGrid/>
          <w:kern w:val="2"/>
          <w:sz w:val="24"/>
          <w:szCs w:val="24"/>
        </w:rPr>
        <w:t>年</w:t>
      </w:r>
      <w:r>
        <w:rPr>
          <w:rStyle w:val="76"/>
          <w:rFonts w:hint="eastAsia" w:ascii="仿宋_GB2312" w:hAnsi="仿宋" w:eastAsia="仿宋_GB2312" w:cs="Times New Roman"/>
          <w:snapToGrid/>
          <w:kern w:val="2"/>
          <w:sz w:val="24"/>
          <w:szCs w:val="24"/>
        </w:rPr>
        <w:t>6月6日13点30分</w:t>
      </w:r>
      <w:r>
        <w:rPr>
          <w:rStyle w:val="76"/>
          <w:rFonts w:hint="eastAsia" w:ascii="仿宋_GB2312" w:hAnsi="仿宋" w:eastAsia="仿宋_GB2312" w:cs="Times New Roman"/>
          <w:bCs/>
          <w:snapToGrid/>
          <w:kern w:val="2"/>
          <w:sz w:val="24"/>
          <w:szCs w:val="24"/>
        </w:rPr>
        <w:t>00秒</w:t>
      </w:r>
      <w:r>
        <w:rPr>
          <w:rStyle w:val="76"/>
          <w:rFonts w:hint="eastAsia" w:ascii="仿宋_GB2312" w:hAnsi="仿宋" w:eastAsia="仿宋_GB2312" w:cs="Times New Roman"/>
          <w:bCs/>
          <w:snapToGrid/>
          <w:kern w:val="2"/>
          <w:sz w:val="24"/>
          <w:szCs w:val="24"/>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ascii="仿宋_GB2312" w:hAnsi="仿宋" w:eastAsia="仿宋_GB2312"/>
          <w:sz w:val="24"/>
        </w:rPr>
        <w:t>HZYHZFCG-2022-013</w:t>
      </w:r>
    </w:p>
    <w:p>
      <w:pPr>
        <w:spacing w:line="360" w:lineRule="auto"/>
        <w:ind w:firstLine="482" w:firstLineChars="200"/>
        <w:rPr>
          <w:rFonts w:ascii="仿宋_GB2312" w:hAnsi="仿宋" w:eastAsia="仿宋_GB2312" w:cs="仿宋_GB2312"/>
          <w:sz w:val="24"/>
          <w:highlight w:val="yellow"/>
        </w:rPr>
      </w:pPr>
      <w:r>
        <w:rPr>
          <w:rFonts w:ascii="仿宋_GB2312" w:hAnsi="仿宋" w:eastAsia="仿宋_GB2312"/>
          <w:b/>
          <w:sz w:val="24"/>
        </w:rPr>
        <w:t>项目名称：</w:t>
      </w:r>
      <w:r>
        <w:rPr>
          <w:rFonts w:hint="eastAsia" w:ascii="仿宋_GB2312" w:hAnsi="仿宋" w:eastAsia="仿宋_GB2312" w:cs="仿宋_GB2312"/>
          <w:sz w:val="24"/>
        </w:rPr>
        <w:t>余杭区永乐综合楼修缮工程电梯采购项目</w:t>
      </w:r>
    </w:p>
    <w:p>
      <w:pPr>
        <w:spacing w:line="360" w:lineRule="auto"/>
        <w:ind w:firstLine="482" w:firstLineChars="200"/>
        <w:rPr>
          <w:rFonts w:ascii="仿宋_GB2312" w:hAnsi="仿宋" w:eastAsia="仿宋_GB2312" w:cs="仿宋_GB2312"/>
          <w:sz w:val="24"/>
        </w:rPr>
      </w:pPr>
      <w:r>
        <w:rPr>
          <w:rFonts w:hint="eastAsia" w:ascii="仿宋_GB2312" w:hAnsi="仿宋" w:eastAsia="仿宋_GB2312" w:cs="仿宋_GB2312"/>
          <w:b/>
          <w:sz w:val="24"/>
        </w:rPr>
        <w:t>确认书编号：</w:t>
      </w:r>
      <w:r>
        <w:rPr>
          <w:rFonts w:hint="eastAsia" w:ascii="仿宋_GB2312" w:hAnsi="仿宋" w:eastAsia="仿宋_GB2312" w:cs="仿宋_GB2312"/>
          <w:sz w:val="24"/>
        </w:rPr>
        <w:t>余政采集-2022-00793</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sz w:val="24"/>
        </w:rPr>
        <w:t>700000元</w:t>
      </w:r>
    </w:p>
    <w:p>
      <w:pPr>
        <w:pStyle w:val="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余杭区永乐综合楼修缮工程电梯采购项目主要内容：本项目为永乐综合楼修缮工程电梯采购项目，采购内容包括电梯2台（额定载重量：1350 kg；额定速度：1.75m/s）。具体包括：电梯设备制造、安装、产品保护（轿厢、门）、调试运行、移交、培训、质保期内的年检及售后服务等</w:t>
      </w:r>
      <w:r>
        <w:rPr>
          <w:rFonts w:ascii="仿宋_GB2312" w:hAnsi="仿宋" w:eastAsia="仿宋_GB2312"/>
          <w:bCs/>
          <w:color w:val="auto"/>
          <w:kern w:val="2"/>
          <w:sz w:val="24"/>
          <w:szCs w:val="24"/>
        </w:rPr>
        <w:t>。</w:t>
      </w:r>
      <w:r>
        <w:rPr>
          <w:rFonts w:hint="eastAsia" w:ascii="仿宋_GB2312" w:hAnsi="仿宋" w:eastAsia="仿宋_GB2312"/>
          <w:bCs/>
          <w:color w:val="auto"/>
          <w:kern w:val="2"/>
          <w:sz w:val="24"/>
          <w:szCs w:val="24"/>
        </w:rPr>
        <w:t>详见招标文件第三部分采购需求。</w:t>
      </w:r>
    </w:p>
    <w:p>
      <w:pPr>
        <w:pStyle w:val="86"/>
        <w:ind w:firstLine="482"/>
        <w:outlineLvl w:val="2"/>
        <w:rPr>
          <w:rFonts w:ascii="仿宋_GB2312" w:hAnsi="仿宋" w:eastAsia="仿宋_GB2312"/>
        </w:rPr>
      </w:pPr>
      <w:r>
        <w:rPr>
          <w:rFonts w:hint="eastAsia" w:ascii="仿宋_GB2312" w:hAnsi="仿宋" w:eastAsia="仿宋_GB2312"/>
          <w:b/>
        </w:rPr>
        <w:t>合同履约期限：</w:t>
      </w:r>
      <w:r>
        <w:rPr>
          <w:rFonts w:hint="eastAsia" w:ascii="仿宋_GB2312" w:hAnsi="仿宋" w:eastAsia="仿宋_GB2312"/>
        </w:rPr>
        <w:t>中标单位与采购人签订合同后45日内送货并安装</w:t>
      </w:r>
    </w:p>
    <w:p>
      <w:pPr>
        <w:pStyle w:val="86"/>
        <w:ind w:firstLine="482"/>
        <w:outlineLvl w:val="2"/>
        <w:rPr>
          <w:rFonts w:ascii="仿宋_GB2312" w:hAnsi="仿宋" w:eastAsia="仿宋_GB2312"/>
          <w:b/>
        </w:rPr>
      </w:pPr>
      <w:r>
        <w:rPr>
          <w:rFonts w:hint="eastAsia" w:ascii="仿宋_GB2312" w:hAnsi="仿宋" w:eastAsia="仿宋_GB2312"/>
          <w:b/>
        </w:rPr>
        <w:t>本项目接受联合体投标：</w:t>
      </w:r>
      <w:r>
        <w:rPr>
          <w:rFonts w:ascii="MS Gothic" w:hAnsi="MS Gothic" w:eastAsia="仿宋_GB2312" w:cs="Arial"/>
          <w:kern w:val="0"/>
        </w:rPr>
        <w:t>☐</w:t>
      </w:r>
      <w:r>
        <w:rPr>
          <w:rFonts w:hint="eastAsia" w:ascii="仿宋_GB2312" w:hAnsi="仿宋" w:eastAsia="仿宋_GB2312"/>
          <w:b/>
        </w:rPr>
        <w:t>是，</w:t>
      </w:r>
      <w:r>
        <w:rPr>
          <w:rFonts w:ascii="MS Gothic" w:hAnsi="MS Gothic" w:eastAsia="MS Gothic" w:cs="Arial"/>
          <w:kern w:val="0"/>
        </w:rPr>
        <w:sym w:font="Wingdings" w:char="F0FE"/>
      </w:r>
      <w:r>
        <w:rPr>
          <w:rFonts w:hint="eastAsia" w:ascii="仿宋_GB2312" w:hAnsi="仿宋" w:eastAsia="仿宋_GB2312"/>
          <w:b/>
        </w:rPr>
        <w:t>否</w:t>
      </w:r>
      <w:r>
        <w:rPr>
          <w:rFonts w:hint="eastAsia" w:ascii="宋体" w:hAnsi="宋体" w:cs="Arial"/>
          <w:kern w:val="0"/>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2" w:firstLineChars="200"/>
        <w:rPr>
          <w:rFonts w:ascii="仿宋_GB2312" w:hAnsi="仿宋" w:eastAsia="仿宋_GB2312"/>
          <w:sz w:val="24"/>
        </w:rPr>
      </w:pPr>
      <w:r>
        <w:rPr>
          <w:rFonts w:ascii="Wingdings" w:hAnsi="Wingdings" w:eastAsia="仿宋_GB2312" w:cs="Arial"/>
          <w:b/>
          <w:bCs/>
          <w:kern w:val="0"/>
          <w:sz w:val="24"/>
        </w:rPr>
        <w:t></w:t>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仿宋_GB2312" w:cs="Arial"/>
          <w:kern w:val="0"/>
          <w:sz w:val="24"/>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napToGrid w:val="0"/>
        <w:spacing w:line="360" w:lineRule="auto"/>
        <w:ind w:firstLine="480" w:firstLineChars="200"/>
        <w:rPr>
          <w:rFonts w:ascii="仿宋" w:hAnsi="仿宋" w:eastAsia="仿宋"/>
          <w:sz w:val="24"/>
        </w:rPr>
      </w:pPr>
      <w:r>
        <w:rPr>
          <w:rFonts w:hint="eastAsia" w:ascii="仿宋" w:hAnsi="仿宋" w:eastAsia="仿宋"/>
          <w:sz w:val="24"/>
        </w:rPr>
        <w:t>3.本项目的特定资格要求： 1）电梯制造商具有《中华人民共和国特种设备制造许可证(电梯)》、《中华人民共和国特种设备安装改造维修许可证(电梯)》，制造商若已更换新证书的，具备特种设备生产许可证，许可项目须包含电梯制造（含安装、修理、改造），许可子项目须包含曳引驱动乘客电梯(含消防员电梯)。</w:t>
      </w:r>
    </w:p>
    <w:p>
      <w:pPr>
        <w:snapToGrid w:val="0"/>
        <w:spacing w:line="360" w:lineRule="auto"/>
        <w:ind w:firstLine="480" w:firstLineChars="200"/>
        <w:rPr>
          <w:rFonts w:ascii="仿宋" w:hAnsi="仿宋" w:eastAsia="仿宋"/>
          <w:sz w:val="24"/>
        </w:rPr>
      </w:pPr>
      <w:r>
        <w:rPr>
          <w:rFonts w:hint="eastAsia" w:ascii="仿宋" w:hAnsi="仿宋" w:eastAsia="仿宋"/>
          <w:sz w:val="24"/>
        </w:rPr>
        <w:t>2）本项目允许代理商参加投标，由代理商承担本项目安装、维修的，代理商须具备《中华人民共和国特种设备安装改造维修许可证(电梯)》，或具备特种设备生产许可证，许可项目须包含电梯安装（含修理），许可子项目须包含曳引驱动乘客电梯(含消防员电梯)，由电梯制造商提供上述服务的则无须提供该项证书。</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6</w:t>
      </w:r>
      <w:r>
        <w:rPr>
          <w:rFonts w:ascii="仿宋_GB2312" w:hAnsi="仿宋" w:eastAsia="仿宋_GB2312"/>
          <w:sz w:val="24"/>
          <w:u w:val="single"/>
        </w:rPr>
        <w:t>月</w:t>
      </w:r>
      <w:r>
        <w:rPr>
          <w:rFonts w:hint="eastAsia" w:ascii="仿宋_GB2312" w:hAnsi="仿宋" w:eastAsia="仿宋_GB2312"/>
          <w:sz w:val="24"/>
          <w:u w:val="single"/>
        </w:rPr>
        <w:t>6</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6月6日13点30分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6月6日13点30分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hint="eastAsia" w:ascii="仿宋" w:hAnsi="仿宋" w:eastAsia="仿宋" w:cs="仿宋"/>
          <w:b/>
          <w:bCs/>
          <w:color w:val="000000"/>
          <w:sz w:val="24"/>
        </w:rPr>
        <w:t>杭州市公共资源交易中心余杭分中心</w:t>
      </w:r>
      <w:r>
        <w:rPr>
          <w:rFonts w:hint="eastAsia" w:ascii="仿宋" w:hAnsi="仿宋" w:eastAsia="仿宋" w:cs="仿宋"/>
          <w:color w:val="000000"/>
          <w:sz w:val="24"/>
        </w:rPr>
        <w:t>(</w:t>
      </w:r>
      <w:r>
        <w:rPr>
          <w:rFonts w:hint="eastAsia" w:ascii="仿宋" w:hAnsi="仿宋" w:eastAsia="仿宋" w:cs="仿宋"/>
          <w:color w:val="171A1D"/>
          <w:sz w:val="24"/>
          <w:shd w:val="clear" w:color="auto" w:fill="FFFFFF"/>
        </w:rPr>
        <w:t>杭州市余杭区瓶窑镇前程路20号余杭市民之家北六楼</w:t>
      </w:r>
      <w:r>
        <w:rPr>
          <w:rFonts w:hint="eastAsia" w:ascii="仿宋" w:hAnsi="仿宋" w:eastAsia="仿宋" w:cs="仿宋"/>
          <w:color w:val="000000"/>
          <w:sz w:val="24"/>
        </w:rPr>
        <w:t>)</w:t>
      </w:r>
      <w:r>
        <w:rPr>
          <w:rFonts w:hint="eastAsia" w:ascii="仿宋" w:hAnsi="仿宋" w:eastAsia="仿宋" w:cs="仿宋"/>
          <w:b/>
          <w:color w:val="000000"/>
          <w:kern w:val="0"/>
          <w:sz w:val="24"/>
          <w:u w:val="single"/>
        </w:rPr>
        <w:t>3</w:t>
      </w:r>
      <w:r>
        <w:rPr>
          <w:rFonts w:hint="eastAsia" w:ascii="仿宋" w:hAnsi="仿宋" w:eastAsia="仿宋" w:cs="仿宋"/>
          <w:b/>
          <w:color w:val="000000"/>
          <w:kern w:val="0"/>
          <w:sz w:val="24"/>
        </w:rPr>
        <w:t xml:space="preserve"> 号开标室</w:t>
      </w:r>
      <w:r>
        <w:rPr>
          <w:rFonts w:hint="eastAsia" w:ascii="宋体" w:hAnsi="宋体"/>
          <w:sz w:val="24"/>
        </w:rPr>
        <w:t xml:space="preserve"> ，</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highlight w:val="yellow"/>
        </w:rPr>
      </w:pPr>
      <w:r>
        <w:rPr>
          <w:rFonts w:ascii="仿宋_GB2312" w:hAnsi="仿宋" w:eastAsia="仿宋_GB2312"/>
          <w:sz w:val="24"/>
        </w:rPr>
        <w:t xml:space="preserve">    名    称：</w:t>
      </w:r>
      <w:r>
        <w:rPr>
          <w:rFonts w:hint="eastAsia" w:ascii="仿宋_GB2312" w:hAnsi="仿宋" w:eastAsia="仿宋_GB2312"/>
          <w:sz w:val="24"/>
        </w:rPr>
        <w:t>杭州市余杭区机关事务服务中心</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 w:hAnsi="仿宋" w:eastAsia="仿宋" w:cs="仿宋_GB2312"/>
          <w:sz w:val="24"/>
        </w:rPr>
        <w:t>余杭区仓前街道文一西路1500号6号楼</w:t>
      </w:r>
    </w:p>
    <w:p>
      <w:pPr>
        <w:spacing w:line="360" w:lineRule="auto"/>
        <w:ind w:firstLine="480"/>
        <w:rPr>
          <w:rFonts w:ascii="仿宋_GB2312" w:hAnsi="仿宋" w:eastAsia="仿宋_GB2312"/>
          <w:sz w:val="24"/>
        </w:rPr>
      </w:pPr>
      <w:r>
        <w:rPr>
          <w:rFonts w:hint="eastAsia" w:ascii="仿宋_GB2312" w:hAnsi="仿宋" w:eastAsia="仿宋_GB2312"/>
          <w:sz w:val="24"/>
        </w:rPr>
        <w:t>项目联系人（询问）：林捷</w:t>
      </w:r>
    </w:p>
    <w:p>
      <w:pPr>
        <w:spacing w:line="360" w:lineRule="auto"/>
        <w:ind w:firstLine="480"/>
        <w:rPr>
          <w:rFonts w:ascii="仿宋_GB2312" w:hAnsi="仿宋" w:eastAsia="仿宋_GB2312"/>
          <w:sz w:val="24"/>
        </w:rPr>
      </w:pPr>
      <w:r>
        <w:rPr>
          <w:rFonts w:ascii="仿宋_GB2312" w:hAnsi="仿宋" w:eastAsia="仿宋_GB2312"/>
          <w:sz w:val="24"/>
        </w:rPr>
        <w:t xml:space="preserve">项目联系方式（询问）：0571-89391583 </w:t>
      </w:r>
    </w:p>
    <w:p>
      <w:pPr>
        <w:spacing w:line="360" w:lineRule="auto"/>
        <w:ind w:firstLine="480"/>
        <w:rPr>
          <w:rFonts w:ascii="仿宋" w:hAnsi="仿宋" w:eastAsia="仿宋"/>
          <w:sz w:val="24"/>
        </w:rPr>
      </w:pPr>
      <w:r>
        <w:rPr>
          <w:rFonts w:ascii="仿宋_GB2312" w:hAnsi="仿宋" w:eastAsia="仿宋_GB2312"/>
          <w:sz w:val="24"/>
        </w:rPr>
        <w:t>质疑联系人：</w:t>
      </w:r>
      <w:r>
        <w:rPr>
          <w:rFonts w:hint="eastAsia" w:ascii="仿宋" w:hAnsi="仿宋" w:eastAsia="仿宋"/>
          <w:sz w:val="24"/>
        </w:rPr>
        <w:t>王正鹏</w:t>
      </w:r>
    </w:p>
    <w:p>
      <w:pPr>
        <w:spacing w:line="360" w:lineRule="auto"/>
        <w:rPr>
          <w:rFonts w:ascii="仿宋_GB2312" w:hAnsi="仿宋" w:eastAsia="仿宋_GB2312"/>
          <w:sz w:val="24"/>
          <w:highlight w:val="yellow"/>
        </w:rPr>
      </w:pPr>
      <w:r>
        <w:rPr>
          <w:rFonts w:ascii="仿宋_GB2312" w:hAnsi="仿宋" w:eastAsia="仿宋_GB2312"/>
          <w:sz w:val="24"/>
        </w:rPr>
        <w:t xml:space="preserve">    质疑联系方式：0571-89391581</w:t>
      </w:r>
    </w:p>
    <w:p>
      <w:pPr>
        <w:spacing w:line="360" w:lineRule="auto"/>
        <w:rPr>
          <w:rFonts w:ascii="仿宋" w:hAnsi="仿宋" w:eastAsia="仿宋" w:cs="仿宋"/>
          <w:color w:val="000000"/>
          <w:sz w:val="24"/>
        </w:rPr>
      </w:pPr>
      <w:r>
        <w:rPr>
          <w:rFonts w:ascii="仿宋_GB2312" w:hAnsi="仿宋" w:eastAsia="仿宋_GB2312"/>
          <w:sz w:val="24"/>
        </w:rPr>
        <w:t xml:space="preserve">   </w:t>
      </w:r>
      <w:r>
        <w:rPr>
          <w:rFonts w:hint="eastAsia" w:ascii="仿宋" w:hAnsi="仿宋" w:eastAsia="仿宋" w:cs="仿宋"/>
          <w:color w:val="000000"/>
          <w:sz w:val="24"/>
        </w:rPr>
        <w:t xml:space="preserve"> 2.采购代理机构信息            </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名    称：杭州市公共资源交易中心余杭分中心</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 xml:space="preserve">地    址： 杭州市余杭区瓶窑镇前程路20号市民之家北六楼 </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传    真：/             </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项目联系人（询问）： 高乐怡        </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项目联系方式（询问）： 0571-89392722 </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质疑联系人：邵华民    </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质疑联系方式：0571-89385161</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3.同级政府采购监督管理部门            </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名    称： 杭州市余杭区财政局</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地    址： 余杭区五常街道溪沁路8号 中国电信浙江创新园</w:t>
      </w:r>
    </w:p>
    <w:p>
      <w:pPr>
        <w:spacing w:line="360" w:lineRule="auto"/>
        <w:ind w:firstLine="240" w:firstLineChars="100"/>
        <w:rPr>
          <w:rFonts w:ascii="仿宋" w:hAnsi="仿宋" w:eastAsia="仿宋" w:cs="仿宋"/>
          <w:color w:val="000000"/>
          <w:sz w:val="24"/>
        </w:rPr>
      </w:pPr>
      <w:r>
        <w:rPr>
          <w:rFonts w:hint="eastAsia" w:ascii="仿宋" w:hAnsi="仿宋" w:eastAsia="仿宋" w:cs="仿宋"/>
          <w:color w:val="000000"/>
          <w:sz w:val="24"/>
        </w:rPr>
        <w:t xml:space="preserve">  传    真： 0571-88728858</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联系人 ：杜国强  </w:t>
      </w:r>
    </w:p>
    <w:p>
      <w:pPr>
        <w:spacing w:line="360" w:lineRule="auto"/>
        <w:ind w:firstLine="480" w:firstLineChars="200"/>
        <w:rPr>
          <w:rFonts w:ascii="仿宋_GB2312" w:hAnsi="仿宋" w:eastAsia="仿宋_GB2312"/>
          <w:sz w:val="24"/>
        </w:rPr>
      </w:pPr>
      <w:r>
        <w:rPr>
          <w:rFonts w:hint="eastAsia" w:ascii="仿宋" w:hAnsi="仿宋" w:eastAsia="仿宋" w:cs="仿宋"/>
          <w:color w:val="000000"/>
          <w:sz w:val="24"/>
        </w:rPr>
        <w:t xml:space="preserve">监督投诉电话：0571-88728858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2"/>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35"/>
        <w:gridCol w:w="61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1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sz w:val="24"/>
              </w:rPr>
              <w:t>1</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电梯</w:t>
            </w:r>
            <w:r>
              <w:rPr>
                <w:rFonts w:hint="eastAsia" w:ascii="仿宋_GB2312" w:hAnsi="仿宋" w:eastAsia="仿宋_GB2312"/>
                <w:sz w:val="24"/>
              </w:rPr>
              <w:t>。</w:t>
            </w:r>
          </w:p>
          <w:p>
            <w:pPr>
              <w:spacing w:line="360" w:lineRule="auto"/>
              <w:rPr>
                <w:rFonts w:ascii="仿宋_GB2312" w:hAnsi="仿宋" w:eastAsia="仿宋_GB2312" w:cs="仿宋_GB2312"/>
                <w:b/>
                <w:sz w:val="24"/>
              </w:rPr>
            </w:pPr>
            <w:r>
              <w:rPr>
                <w:rFonts w:ascii="MS Gothic" w:hAnsi="MS Gothic" w:eastAsia="仿宋_GB2312" w:cs="Arial"/>
                <w:kern w:val="0"/>
                <w:sz w:val="24"/>
              </w:rPr>
              <w:t>☐</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1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电梯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通用设备制造业</w:t>
            </w:r>
            <w:r>
              <w:rPr>
                <w:rFonts w:hint="eastAsia" w:ascii="仿宋_GB2312" w:hAnsi="仿宋" w:eastAsia="仿宋_GB2312" w:cs="Arial"/>
                <w:kern w:val="0"/>
                <w:sz w:val="24"/>
              </w:rPr>
              <w:t>行业；</w:t>
            </w:r>
          </w:p>
          <w:p>
            <w:pPr>
              <w:pStyle w:val="3"/>
              <w:ind w:left="0" w:firstLine="0"/>
              <w:rPr>
                <w:rFonts w:ascii="MS Gothic" w:hAnsi="MS Gothic" w:cs="Arial"/>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MS Gothic" w:hAnsi="MS Gothic" w:eastAsia="MS Gothic" w:cs="Arial"/>
                <w:kern w:val="0"/>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MS Gothic" w:hAnsi="MS Gothic" w:eastAsia="MS Gothic" w:cs="Arial"/>
                <w:kern w:val="0"/>
                <w:sz w:val="24"/>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方案讲解演示</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835"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MS Gothic" w:hAnsi="MS Gothic" w:eastAsia="MS Gothic" w:cs="Arial"/>
                <w:kern w:val="0"/>
                <w:sz w:val="24"/>
                <w:highlight w:val="yellow"/>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35"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MS Gothic" w:hAnsi="MS Gothic" w:eastAsia="MS Gothic" w:cs="Arial"/>
                <w:kern w:val="0"/>
                <w:sz w:val="24"/>
                <w:highlight w:val="yellow"/>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w:t>
            </w:r>
            <w:r>
              <w:rPr>
                <w:rFonts w:hint="eastAsia" w:ascii="宋体" w:hAnsi="宋体" w:cs="宋体"/>
                <w:bCs/>
                <w:color w:val="000000"/>
                <w:kern w:val="0"/>
                <w:sz w:val="24"/>
              </w:rPr>
              <w:t>、</w:t>
            </w:r>
            <w:r>
              <w:rPr>
                <w:rFonts w:hint="eastAsia" w:ascii="仿宋_GB2312" w:hAnsi="仿宋" w:eastAsia="仿宋_GB2312" w:cs="仿宋_GB2312"/>
                <w:b/>
                <w:sz w:val="24"/>
              </w:rPr>
              <w:t>环境标志产品</w:t>
            </w:r>
          </w:p>
        </w:tc>
        <w:tc>
          <w:tcPr>
            <w:tcW w:w="61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宋体" w:hAnsi="宋体" w:cs="宋体"/>
                <w:bCs/>
                <w:color w:val="000000"/>
                <w:kern w:val="0"/>
                <w:sz w:val="24"/>
              </w:rPr>
              <w:t xml:space="preserve">   </w:t>
            </w:r>
            <w:r>
              <w:rPr>
                <w:rFonts w:hint="eastAsia" w:ascii="仿宋" w:hAnsi="仿宋" w:eastAsia="仿宋" w:cs="仿宋"/>
                <w:kern w:val="0"/>
                <w:sz w:val="24"/>
              </w:rPr>
              <w:t xml:space="preserve">  1、根据《财政部 发展改革委 生态环境部 </w:t>
            </w:r>
            <w:r>
              <w:fldChar w:fldCharType="begin"/>
            </w:r>
            <w:r>
              <w:instrText xml:space="preserve"> HYPERLINK "http://www.tanjiaoyi.com/tanshichang/" \t "http://www.tanjiaoyi.com/_blank" </w:instrText>
            </w:r>
            <w:r>
              <w:fldChar w:fldCharType="separate"/>
            </w:r>
            <w:r>
              <w:rPr>
                <w:rFonts w:hint="eastAsia" w:ascii="仿宋" w:hAnsi="仿宋" w:eastAsia="仿宋" w:cs="仿宋"/>
                <w:kern w:val="0"/>
                <w:sz w:val="24"/>
              </w:rPr>
              <w:t>市场</w:t>
            </w:r>
            <w:r>
              <w:rPr>
                <w:rFonts w:hint="eastAsia" w:ascii="仿宋" w:hAnsi="仿宋" w:eastAsia="仿宋" w:cs="仿宋"/>
                <w:kern w:val="0"/>
                <w:sz w:val="24"/>
              </w:rPr>
              <w:fldChar w:fldCharType="end"/>
            </w:r>
            <w:r>
              <w:rPr>
                <w:rFonts w:hint="eastAsia" w:ascii="仿宋" w:hAnsi="仿宋" w:eastAsia="仿宋" w:cs="仿宋"/>
                <w:kern w:val="0"/>
                <w:sz w:val="24"/>
              </w:rPr>
              <w:t>监管总局关于调整优化</w:t>
            </w:r>
            <w:r>
              <w:fldChar w:fldCharType="begin"/>
            </w:r>
            <w:r>
              <w:instrText xml:space="preserve"> HYPERLINK "http://www.tanjiaoyi.com/jienengjianpai/" \t "http://www.tanjiaoyi.com/_blank" </w:instrText>
            </w:r>
            <w:r>
              <w:fldChar w:fldCharType="separate"/>
            </w:r>
            <w:r>
              <w:rPr>
                <w:rFonts w:hint="eastAsia" w:ascii="仿宋" w:hAnsi="仿宋" w:eastAsia="仿宋" w:cs="仿宋"/>
                <w:kern w:val="0"/>
                <w:sz w:val="24"/>
              </w:rPr>
              <w:t>节能</w:t>
            </w:r>
            <w:r>
              <w:rPr>
                <w:rFonts w:hint="eastAsia" w:ascii="仿宋" w:hAnsi="仿宋" w:eastAsia="仿宋" w:cs="仿宋"/>
                <w:kern w:val="0"/>
                <w:sz w:val="24"/>
              </w:rPr>
              <w:fldChar w:fldCharType="end"/>
            </w:r>
            <w:r>
              <w:rPr>
                <w:rFonts w:hint="eastAsia" w:ascii="仿宋" w:hAnsi="仿宋" w:eastAsia="仿宋" w:cs="仿宋"/>
                <w:kern w:val="0"/>
                <w:sz w:val="24"/>
              </w:rPr>
              <w:t>产品、环境标志产品政府采购执行机制的通知》（财库〔2019〕9号）文件要求，本项目如必须采购品目清单中的政府强制采购的产品，投标人所投的相应产品须为属于品目清单范围内、处于有效期内的产品。</w:t>
            </w:r>
          </w:p>
          <w:p>
            <w:pPr>
              <w:snapToGrid w:val="0"/>
              <w:spacing w:line="360" w:lineRule="auto"/>
              <w:rPr>
                <w:rFonts w:ascii="MS Gothic" w:hAnsi="MS Gothic" w:eastAsia="MS Gothic" w:cs="Arial"/>
                <w:kern w:val="0"/>
                <w:sz w:val="24"/>
                <w:highlight w:val="yellow"/>
              </w:rPr>
            </w:pPr>
            <w:r>
              <w:rPr>
                <w:rFonts w:hint="eastAsia" w:ascii="仿宋" w:hAnsi="仿宋" w:eastAsia="仿宋" w:cs="仿宋"/>
                <w:kern w:val="0"/>
                <w:sz w:val="24"/>
              </w:rPr>
              <w:t xml:space="preserve">    2、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0</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1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w:t>
            </w:r>
            <w:r>
              <w:rPr>
                <w:rFonts w:hint="eastAsia" w:ascii="仿宋" w:hAnsi="仿宋" w:eastAsia="仿宋" w:cs="Vrinda"/>
                <w:bCs/>
                <w:color w:val="000000"/>
                <w:sz w:val="24"/>
              </w:rPr>
              <w:t>电梯设备制造、安装、产品保护（轿厢、门）、调试运行、移交、培训、售后服务</w:t>
            </w:r>
            <w:r>
              <w:rPr>
                <w:rFonts w:hint="eastAsia" w:ascii="仿宋_GB2312" w:hAnsi="仿宋" w:eastAsia="仿宋_GB2312"/>
                <w:kern w:val="0"/>
                <w:sz w:val="24"/>
              </w:rPr>
              <w:t>及</w:t>
            </w:r>
            <w:r>
              <w:rPr>
                <w:rFonts w:hint="eastAsia" w:ascii="仿宋_GB2312" w:hAnsi="仿宋" w:eastAsia="仿宋_GB2312"/>
                <w:kern w:val="0"/>
                <w:sz w:val="24"/>
                <w:lang w:val="zh-CN"/>
              </w:rPr>
              <w:t>税费</w:t>
            </w:r>
            <w:r>
              <w:rPr>
                <w:rFonts w:hint="eastAsia" w:ascii="仿宋_GB2312" w:hAnsi="仿宋" w:eastAsia="仿宋_GB2312"/>
                <w:kern w:val="0"/>
                <w:sz w:val="24"/>
              </w:rPr>
              <w:t>等</w:t>
            </w:r>
            <w:r>
              <w:rPr>
                <w:rFonts w:hint="eastAsia" w:ascii="仿宋_GB2312" w:hAnsi="仿宋" w:eastAsia="仿宋_GB2312"/>
                <w:kern w:val="0"/>
                <w:sz w:val="24"/>
                <w:lang w:val="zh-CN"/>
              </w:rPr>
              <w:t>）均计入报价。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91"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35" w:type="dxa"/>
            <w:tcBorders>
              <w:top w:val="single" w:color="000000" w:sz="8" w:space="0"/>
              <w:left w:val="single" w:color="000000" w:sz="2"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1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FF0000"/>
                <w:sz w:val="24"/>
              </w:rPr>
            </w:pPr>
            <w:r>
              <w:rPr>
                <w:rFonts w:hint="eastAsia" w:ascii="仿宋" w:hAnsi="仿宋" w:eastAsia="仿宋" w:cs="仿宋"/>
                <w:color w:val="000000"/>
                <w:sz w:val="24"/>
              </w:rPr>
              <w:t xml:space="preserve">    根据《余杭区政府采购支持中小企业信用融资暂行办法》（余财采〔2015〕1号）的规定，凡已在浙江政府采购网上注册入库，并取得余杭区政府采购合同的区内中小企业供应商，均可申请政府采购信用融资。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3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10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投标人应当在投标截止时间前半小时内将以介质存储的数据电文形式的备份投标文件密封送交到</w:t>
            </w:r>
            <w:r>
              <w:rPr>
                <w:rFonts w:hint="eastAsia" w:ascii="仿宋" w:hAnsi="仿宋" w:eastAsia="仿宋" w:cs="仿宋"/>
                <w:b/>
                <w:bCs/>
                <w:color w:val="000000"/>
                <w:sz w:val="24"/>
              </w:rPr>
              <w:t>杭州市公共资源交易中心余杭分中心</w:t>
            </w:r>
            <w:r>
              <w:rPr>
                <w:rFonts w:hint="eastAsia" w:ascii="仿宋" w:hAnsi="仿宋" w:eastAsia="仿宋" w:cs="仿宋"/>
                <w:color w:val="000000"/>
                <w:sz w:val="24"/>
              </w:rPr>
              <w:t>(</w:t>
            </w:r>
            <w:r>
              <w:rPr>
                <w:rFonts w:hint="eastAsia" w:ascii="仿宋" w:hAnsi="仿宋" w:eastAsia="仿宋" w:cs="仿宋"/>
                <w:color w:val="171A1D"/>
                <w:sz w:val="24"/>
                <w:shd w:val="clear" w:color="auto" w:fill="FFFFFF"/>
              </w:rPr>
              <w:t>杭州市余杭区瓶窑镇前程路20号余杭市民之家北六楼</w:t>
            </w:r>
            <w:r>
              <w:rPr>
                <w:rFonts w:hint="eastAsia" w:ascii="仿宋" w:hAnsi="仿宋" w:eastAsia="仿宋" w:cs="仿宋"/>
                <w:color w:val="000000"/>
                <w:sz w:val="24"/>
              </w:rPr>
              <w:t>)</w:t>
            </w:r>
            <w:r>
              <w:rPr>
                <w:rFonts w:hint="eastAsia" w:ascii="仿宋" w:hAnsi="仿宋" w:eastAsia="仿宋" w:cs="仿宋"/>
                <w:b/>
                <w:color w:val="000000"/>
                <w:kern w:val="0"/>
                <w:sz w:val="24"/>
                <w:u w:val="single"/>
              </w:rPr>
              <w:t xml:space="preserve">3 </w:t>
            </w:r>
            <w:r>
              <w:rPr>
                <w:rFonts w:hint="eastAsia" w:ascii="仿宋" w:hAnsi="仿宋" w:eastAsia="仿宋" w:cs="仿宋"/>
                <w:b/>
                <w:color w:val="000000"/>
                <w:kern w:val="0"/>
                <w:sz w:val="24"/>
              </w:rPr>
              <w:t xml:space="preserve"> 号开标室</w:t>
            </w:r>
            <w:r>
              <w:rPr>
                <w:rFonts w:hint="eastAsia" w:ascii="仿宋" w:hAnsi="仿宋" w:eastAsia="仿宋" w:cs="仿宋"/>
                <w:color w:val="000000"/>
                <w:kern w:val="0"/>
                <w:sz w:val="24"/>
              </w:rPr>
              <w:t>，逾期送达或未密封将被拒收。</w:t>
            </w:r>
          </w:p>
          <w:p>
            <w:pPr>
              <w:pStyle w:val="32"/>
              <w:spacing w:line="360" w:lineRule="auto"/>
              <w:rPr>
                <w:rFonts w:ascii="仿宋_GB2312" w:hAnsi="仿宋" w:eastAsia="仿宋_GB2312"/>
                <w:kern w:val="28"/>
                <w:sz w:val="24"/>
              </w:rPr>
            </w:pPr>
            <w:r>
              <w:rPr>
                <w:rFonts w:hint="eastAsia" w:ascii="仿宋_GB2312" w:hAnsi="仿宋" w:eastAsia="仿宋_GB2312" w:cs="仿宋_GB2312"/>
                <w:b/>
                <w:sz w:val="24"/>
                <w:szCs w:val="24"/>
              </w:rPr>
              <w:t xml:space="preserve">    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3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2" w:firstLineChars="200"/>
        <w:rPr>
          <w:rFonts w:ascii="仿宋_GB2312" w:hAnsi="仿宋" w:eastAsia="仿宋_GB2312"/>
          <w:b/>
          <w:bCs/>
          <w:sz w:val="28"/>
          <w:szCs w:val="28"/>
        </w:rPr>
      </w:pPr>
      <w:r>
        <w:rPr>
          <w:rFonts w:ascii="仿宋_GB2312" w:hAnsi="仿宋" w:eastAsia="仿宋_GB2312"/>
          <w:b/>
          <w:bCs/>
          <w:sz w:val="24"/>
        </w:rPr>
        <w:t xml:space="preserve">2.7 </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系指实质性要求条款，“★”系产品采购项目中单一产品或核心产品，“</w:t>
      </w:r>
      <w:r>
        <w:rPr>
          <w:rFonts w:ascii="Wingdings" w:hAnsi="Wingdings" w:eastAsia="仿宋_GB2312" w:cs="Arial"/>
          <w:b/>
          <w:bCs/>
          <w:kern w:val="0"/>
          <w:sz w:val="24"/>
        </w:rPr>
        <w:t></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系指适用本项目的要求，“</w:t>
      </w:r>
      <w:r>
        <w:rPr>
          <w:rFonts w:ascii="MS Gothic" w:hAnsi="MS Gothic" w:eastAsia="MS Gothic" w:cs="Arial"/>
          <w:b/>
          <w:bCs/>
          <w:kern w:val="0"/>
          <w:sz w:val="24"/>
        </w:rPr>
        <w:t>☐</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b/>
          <w:bCs/>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w:t>
      </w:r>
      <w:r>
        <w:rPr>
          <w:rFonts w:hint="eastAsia" w:ascii="仿宋_GB2312" w:hAnsi="仿宋" w:eastAsia="仿宋_GB2312"/>
          <w:b/>
          <w:bCs/>
          <w:sz w:val="24"/>
        </w:rPr>
        <w:t>对小型和微型企业的投标报价给予</w:t>
      </w:r>
      <w:r>
        <w:rPr>
          <w:rFonts w:ascii="仿宋_GB2312" w:hAnsi="仿宋" w:eastAsia="仿宋_GB2312"/>
          <w:b/>
          <w:bCs/>
          <w:sz w:val="24"/>
        </w:rPr>
        <w:t>10%的扣除，用扣除后的价格参与评审。接受大中型企业与小微企业组成联合体或者允许大中型企业向一家或者多家小微企业分包的</w:t>
      </w:r>
      <w:r>
        <w:rPr>
          <w:rFonts w:hint="eastAsia" w:ascii="仿宋_GB2312" w:hAnsi="仿宋" w:eastAsia="仿宋_GB2312"/>
          <w:b/>
          <w:bCs/>
          <w:sz w:val="24"/>
        </w:rPr>
        <w:t>政府</w:t>
      </w:r>
      <w:r>
        <w:rPr>
          <w:rFonts w:ascii="仿宋_GB2312" w:hAnsi="仿宋" w:eastAsia="仿宋_GB2312"/>
          <w:b/>
          <w:bCs/>
          <w:sz w:val="24"/>
        </w:rPr>
        <w:t>采购</w:t>
      </w:r>
      <w:r>
        <w:rPr>
          <w:rFonts w:hint="eastAsia" w:ascii="仿宋_GB2312" w:hAnsi="仿宋" w:eastAsia="仿宋_GB2312"/>
          <w:b/>
          <w:bCs/>
          <w:sz w:val="24"/>
        </w:rPr>
        <w:t>货物或服务</w:t>
      </w:r>
      <w:r>
        <w:rPr>
          <w:rFonts w:ascii="仿宋_GB2312" w:hAnsi="仿宋" w:eastAsia="仿宋_GB2312"/>
          <w:b/>
          <w:bCs/>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b/>
          <w:bCs/>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b/>
          <w:bCs/>
          <w:sz w:val="24"/>
        </w:rPr>
        <w:t>自认定之日起</w:t>
      </w:r>
      <w:r>
        <w:rPr>
          <w:rFonts w:ascii="仿宋_GB2312" w:hAnsi="仿宋" w:eastAsia="仿宋_GB2312"/>
          <w:b/>
          <w:bCs/>
          <w:sz w:val="24"/>
        </w:rPr>
        <w:t>2年内视同已具备相应销售业绩，参加政府采购活动</w:t>
      </w:r>
      <w:r>
        <w:rPr>
          <w:rFonts w:hint="eastAsia" w:ascii="仿宋_GB2312" w:hAnsi="仿宋" w:eastAsia="仿宋_GB2312"/>
          <w:b/>
          <w:bCs/>
          <w:sz w:val="24"/>
        </w:rPr>
        <w:t>时业绩分值为满分。</w:t>
      </w:r>
    </w:p>
    <w:p>
      <w:pPr>
        <w:spacing w:line="360" w:lineRule="auto"/>
        <w:rPr>
          <w:rFonts w:ascii="仿宋_GB2312" w:hAnsi="仿宋" w:eastAsia="仿宋_GB2312"/>
          <w:b/>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w:t>
      </w:r>
      <w:r>
        <w:rPr>
          <w:rFonts w:ascii="仿宋_GB2312" w:hAnsi="仿宋" w:eastAsia="仿宋_GB2312"/>
          <w:b/>
          <w:bCs/>
        </w:rPr>
        <w:t>质疑</w:t>
      </w:r>
      <w:r>
        <w:rPr>
          <w:rFonts w:hint="eastAsia" w:ascii="仿宋_GB2312" w:hAnsi="仿宋" w:eastAsia="仿宋_GB2312"/>
          <w:b/>
          <w:bCs/>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6"/>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6"/>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6"/>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6"/>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6"/>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6"/>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6"/>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15.1投标人在电子交易平台传输递交投标文件后，还可以在投标截止时间前直接提交备份投标文件1份，</w:t>
      </w:r>
      <w:r>
        <w:rPr>
          <w:rFonts w:hint="eastAsia" w:ascii="仿宋_GB2312" w:hAnsi="仿宋" w:eastAsia="仿宋_GB2312" w:cs="仿宋_GB2312"/>
          <w:b/>
          <w:sz w:val="24"/>
          <w:szCs w:val="24"/>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1" w:firstLineChars="150"/>
        <w:rPr>
          <w:rFonts w:ascii="仿宋_GB2312" w:hAnsi="仿宋" w:eastAsia="仿宋_GB2312" w:cs="仿宋_GB2312"/>
          <w:b/>
          <w:bCs/>
          <w:szCs w:val="21"/>
        </w:rPr>
      </w:pPr>
      <w:r>
        <w:rPr>
          <w:rFonts w:hint="eastAsia" w:ascii="仿宋_GB2312" w:hAnsi="仿宋" w:eastAsia="仿宋_GB2312" w:cs="仿宋_GB2312"/>
          <w:b/>
          <w:bCs/>
          <w:szCs w:val="21"/>
        </w:rPr>
        <w:t>有招标文件第四部分</w:t>
      </w:r>
      <w:r>
        <w:rPr>
          <w:rFonts w:hint="eastAsia" w:ascii="仿宋_GB2312" w:hAnsi="仿宋" w:eastAsia="仿宋_GB2312"/>
          <w:b/>
          <w:bCs/>
        </w:rPr>
        <w:t>第4.2条</w:t>
      </w:r>
      <w:r>
        <w:rPr>
          <w:rFonts w:ascii="仿宋_GB2312" w:hAnsi="仿宋" w:eastAsia="仿宋_GB2312"/>
          <w:b/>
          <w:bCs/>
        </w:rPr>
        <w:t>规定</w:t>
      </w:r>
      <w:r>
        <w:rPr>
          <w:rFonts w:hint="eastAsia" w:ascii="仿宋_GB2312" w:hAnsi="仿宋" w:eastAsia="仿宋_GB2312" w:cs="仿宋_GB2312"/>
          <w:b/>
          <w:bCs/>
          <w:szCs w:val="21"/>
        </w:rPr>
        <w:t>的情形之一的，投标无效。</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6"/>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6"/>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仿宋_GB2312" w:hAnsi="仿宋" w:eastAsia="仿宋_GB2312" w:cs="仿宋_GB2312"/>
          <w:b/>
          <w:sz w:val="32"/>
        </w:rPr>
      </w:pPr>
    </w:p>
    <w:p>
      <w:pPr>
        <w:pStyle w:val="86"/>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0"/>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6"/>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6"/>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采购人将自收到评审报告之日起2</w:t>
      </w:r>
      <w:r>
        <w:rPr>
          <w:rFonts w:ascii="仿宋_GB2312" w:hAnsi="仿宋" w:eastAsia="仿宋_GB2312" w:cs="仿宋_GB2312"/>
          <w:szCs w:val="24"/>
        </w:rPr>
        <w:t>个工作日内通过电子交易平台在评审报告推荐的中标候选人中按顺序确定中标供应商。</w:t>
      </w:r>
    </w:p>
    <w:p>
      <w:pPr>
        <w:pStyle w:val="86"/>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w:t>
      </w:r>
      <w:r>
        <w:rPr>
          <w:rFonts w:hint="eastAsia" w:ascii="仿宋_GB2312" w:hAnsi="仿宋" w:eastAsia="仿宋_GB2312" w:cs="Arial"/>
          <w:kern w:val="0"/>
          <w:sz w:val="24"/>
        </w:rPr>
        <w:t>10个工作日</w:t>
      </w:r>
      <w:r>
        <w:rPr>
          <w:rFonts w:ascii="仿宋_GB2312" w:hAnsi="仿宋" w:eastAsia="仿宋_GB2312" w:cs="Arial"/>
          <w:kern w:val="0"/>
          <w:sz w:val="24"/>
        </w:rPr>
        <w:t>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6"/>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。履约保证金的数额不得超过政府采购合同金额的2.5</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pStyle w:val="3"/>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6"/>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6"/>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29768"/>
      <w:bookmarkEnd w:id="14"/>
      <w:bookmarkStart w:id="15" w:name="_Hlt75236101"/>
      <w:bookmarkEnd w:id="15"/>
      <w:bookmarkStart w:id="16" w:name="_Hlt68403820"/>
      <w:bookmarkEnd w:id="16"/>
      <w:bookmarkStart w:id="17" w:name="_Hlt74707468"/>
      <w:bookmarkEnd w:id="17"/>
      <w:bookmarkStart w:id="18" w:name="_Hlt68073093"/>
      <w:bookmarkEnd w:id="18"/>
      <w:bookmarkStart w:id="19" w:name="_Hlt75236011"/>
      <w:bookmarkEnd w:id="19"/>
      <w:bookmarkStart w:id="20" w:name="_Hlt68072998"/>
      <w:bookmarkEnd w:id="20"/>
      <w:bookmarkStart w:id="21" w:name="_Hlt75236290"/>
      <w:bookmarkEnd w:id="21"/>
      <w:bookmarkStart w:id="22" w:name="_Hlt68072990"/>
      <w:bookmarkEnd w:id="22"/>
      <w:bookmarkStart w:id="23" w:name="_Hlt74730295"/>
      <w:bookmarkEnd w:id="23"/>
      <w:bookmarkStart w:id="24" w:name="_Hlt74714665"/>
      <w:bookmarkEnd w:id="24"/>
      <w:bookmarkStart w:id="25" w:name="_Hlt68057669"/>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rPr>
          <w:rFonts w:ascii="仿宋" w:hAnsi="仿宋" w:eastAsia="仿宋" w:cs="Vrinda"/>
          <w:b/>
          <w:sz w:val="24"/>
        </w:rPr>
      </w:pPr>
      <w:r>
        <w:rPr>
          <w:rFonts w:hint="eastAsia" w:ascii="仿宋" w:hAnsi="仿宋" w:eastAsia="仿宋" w:cs="Vrinda"/>
          <w:b/>
          <w:sz w:val="24"/>
        </w:rPr>
        <w:t>一、项目概述：</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本项目为永乐综合楼修缮工程电梯采购项目，采购内容包括</w:t>
      </w:r>
      <w:r>
        <w:rPr>
          <w:rFonts w:hint="eastAsia" w:ascii="仿宋" w:hAnsi="仿宋" w:eastAsia="仿宋" w:cs="Vrinda"/>
          <w:bCs/>
          <w:color w:val="000000"/>
          <w:sz w:val="24"/>
        </w:rPr>
        <w:t>电梯2台（额定载重量：1350 kg；额定速度：1.75m/s）。具体包括：电梯设备制造、安装、产品保护（轿厢、门）、调试运行、移交、培训及售后服务等。</w:t>
      </w:r>
    </w:p>
    <w:p>
      <w:pPr>
        <w:spacing w:line="360" w:lineRule="auto"/>
        <w:rPr>
          <w:rFonts w:ascii="仿宋" w:hAnsi="仿宋" w:eastAsia="仿宋"/>
          <w:b/>
          <w:sz w:val="24"/>
        </w:rPr>
      </w:pPr>
      <w:r>
        <w:rPr>
          <w:rFonts w:hint="eastAsia" w:ascii="仿宋" w:hAnsi="仿宋" w:eastAsia="仿宋"/>
          <w:b/>
          <w:sz w:val="24"/>
        </w:rPr>
        <w:t>二、电梯技术规格参数</w:t>
      </w:r>
    </w:p>
    <w:tbl>
      <w:tblPr>
        <w:tblStyle w:val="63"/>
        <w:tblW w:w="7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2244"/>
        <w:gridCol w:w="4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b/>
                <w:bCs/>
                <w:sz w:val="24"/>
              </w:rPr>
            </w:pPr>
            <w:r>
              <w:rPr>
                <w:rFonts w:hint="eastAsia" w:ascii="仿宋" w:hAnsi="仿宋" w:eastAsia="仿宋" w:cs="宋体"/>
                <w:b/>
                <w:bCs/>
                <w:sz w:val="24"/>
              </w:rPr>
              <w:t>序号</w:t>
            </w:r>
          </w:p>
        </w:tc>
        <w:tc>
          <w:tcPr>
            <w:tcW w:w="2244" w:type="dxa"/>
          </w:tcPr>
          <w:p>
            <w:pPr>
              <w:tabs>
                <w:tab w:val="left" w:pos="5405"/>
              </w:tabs>
              <w:spacing w:line="400" w:lineRule="atLeast"/>
              <w:rPr>
                <w:rFonts w:ascii="仿宋" w:hAnsi="仿宋" w:eastAsia="仿宋" w:cs="宋体"/>
                <w:b/>
                <w:bCs/>
                <w:sz w:val="24"/>
              </w:rPr>
            </w:pPr>
            <w:r>
              <w:rPr>
                <w:rFonts w:hint="eastAsia" w:ascii="仿宋" w:hAnsi="仿宋" w:eastAsia="仿宋" w:cs="宋体"/>
                <w:b/>
                <w:bCs/>
                <w:sz w:val="24"/>
              </w:rPr>
              <w:t>项目</w:t>
            </w:r>
          </w:p>
        </w:tc>
        <w:tc>
          <w:tcPr>
            <w:tcW w:w="4641" w:type="dxa"/>
          </w:tcPr>
          <w:p>
            <w:pPr>
              <w:tabs>
                <w:tab w:val="left" w:pos="5405"/>
              </w:tabs>
              <w:spacing w:line="400" w:lineRule="atLeast"/>
              <w:rPr>
                <w:rFonts w:ascii="仿宋" w:hAnsi="仿宋" w:eastAsia="仿宋" w:cs="宋体"/>
                <w:b/>
                <w:bCs/>
                <w:sz w:val="24"/>
              </w:rPr>
            </w:pPr>
            <w:r>
              <w:rPr>
                <w:rFonts w:hint="eastAsia" w:ascii="仿宋" w:hAnsi="仿宋" w:eastAsia="仿宋" w:cs="宋体"/>
                <w:b/>
                <w:bCs/>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1</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设备名称</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有机房乘客电梯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2</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规格型号</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3</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控制方式</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集选控制、变频调速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4</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运行方式</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单台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5</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额定载重</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1350kg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6</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额定速度</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1.75m/s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7</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层站门</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8</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井道净尺寸</w:t>
            </w:r>
          </w:p>
          <w:p>
            <w:pPr>
              <w:tabs>
                <w:tab w:val="left" w:pos="5405"/>
              </w:tabs>
              <w:spacing w:line="400" w:lineRule="atLeast"/>
              <w:rPr>
                <w:rFonts w:ascii="仿宋" w:hAnsi="仿宋" w:eastAsia="仿宋" w:cs="宋体"/>
                <w:sz w:val="24"/>
              </w:rPr>
            </w:pPr>
            <w:r>
              <w:rPr>
                <w:rFonts w:hint="eastAsia" w:ascii="仿宋" w:hAnsi="仿宋" w:eastAsia="仿宋" w:cs="宋体"/>
                <w:sz w:val="24"/>
              </w:rPr>
              <w:t>（宽*深）</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2150mm*2900mm（以现场实际测量为准）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9</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底坑深度</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≥1500mm（以现场实际测量为准）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10</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顶层高度</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5000mm（以现场实际测量为准）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11</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开门方式</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中分门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12</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门洞净尺寸</w:t>
            </w:r>
          </w:p>
          <w:p>
            <w:pPr>
              <w:tabs>
                <w:tab w:val="left" w:pos="5405"/>
              </w:tabs>
              <w:spacing w:line="400" w:lineRule="atLeast"/>
              <w:rPr>
                <w:rFonts w:ascii="仿宋" w:hAnsi="仿宋" w:eastAsia="仿宋" w:cs="宋体"/>
                <w:sz w:val="24"/>
              </w:rPr>
            </w:pPr>
            <w:r>
              <w:rPr>
                <w:rFonts w:hint="eastAsia" w:ascii="仿宋" w:hAnsi="仿宋" w:eastAsia="仿宋" w:cs="宋体"/>
                <w:sz w:val="24"/>
              </w:rPr>
              <w:t>（宽*高）</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1200mm×2200mm（以现场实际测量为准）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13</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厅/轿门净尺寸</w:t>
            </w:r>
          </w:p>
          <w:p>
            <w:pPr>
              <w:tabs>
                <w:tab w:val="left" w:pos="5405"/>
              </w:tabs>
              <w:spacing w:line="400" w:lineRule="atLeast"/>
              <w:rPr>
                <w:rFonts w:ascii="仿宋" w:hAnsi="仿宋" w:eastAsia="仿宋" w:cs="宋体"/>
                <w:sz w:val="24"/>
              </w:rPr>
            </w:pPr>
            <w:r>
              <w:rPr>
                <w:rFonts w:hint="eastAsia" w:ascii="仿宋" w:hAnsi="仿宋" w:eastAsia="仿宋" w:cs="宋体"/>
                <w:sz w:val="24"/>
              </w:rPr>
              <w:t>（宽*高）</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1000mm×2100mm（以现场实际测量为准）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14</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轿厢净尺寸</w:t>
            </w:r>
          </w:p>
          <w:p>
            <w:pPr>
              <w:tabs>
                <w:tab w:val="left" w:pos="5405"/>
              </w:tabs>
              <w:spacing w:line="400" w:lineRule="atLeast"/>
              <w:rPr>
                <w:rFonts w:ascii="仿宋" w:hAnsi="仿宋" w:eastAsia="仿宋" w:cs="宋体"/>
                <w:sz w:val="24"/>
              </w:rPr>
            </w:pPr>
            <w:r>
              <w:rPr>
                <w:rFonts w:hint="eastAsia" w:ascii="仿宋" w:hAnsi="仿宋" w:eastAsia="仿宋" w:cs="宋体"/>
                <w:sz w:val="24"/>
              </w:rPr>
              <w:t>（宽*深*高）</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1600mm*1900mm×2400mm（以现场实际测量为准）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15</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动力电源</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交流三相380V，50HZ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tabs>
                <w:tab w:val="left" w:pos="5405"/>
              </w:tabs>
              <w:spacing w:line="400" w:lineRule="atLeast"/>
              <w:rPr>
                <w:rFonts w:ascii="仿宋" w:hAnsi="仿宋" w:eastAsia="仿宋" w:cs="宋体"/>
                <w:sz w:val="24"/>
              </w:rPr>
            </w:pPr>
            <w:r>
              <w:rPr>
                <w:rFonts w:hint="eastAsia" w:ascii="仿宋" w:hAnsi="仿宋" w:eastAsia="仿宋" w:cs="宋体"/>
                <w:sz w:val="24"/>
              </w:rPr>
              <w:t>16</w:t>
            </w:r>
          </w:p>
        </w:tc>
        <w:tc>
          <w:tcPr>
            <w:tcW w:w="2244"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照明电源</w:t>
            </w:r>
          </w:p>
        </w:tc>
        <w:tc>
          <w:tcPr>
            <w:tcW w:w="4641" w:type="dxa"/>
            <w:vAlign w:val="center"/>
          </w:tcPr>
          <w:p>
            <w:pPr>
              <w:tabs>
                <w:tab w:val="left" w:pos="5405"/>
              </w:tabs>
              <w:spacing w:line="400" w:lineRule="atLeast"/>
              <w:rPr>
                <w:rFonts w:ascii="仿宋" w:hAnsi="仿宋" w:eastAsia="仿宋" w:cs="宋体"/>
                <w:sz w:val="24"/>
              </w:rPr>
            </w:pPr>
            <w:r>
              <w:rPr>
                <w:rFonts w:hint="eastAsia" w:ascii="仿宋" w:hAnsi="仿宋" w:eastAsia="仿宋" w:cs="宋体"/>
                <w:sz w:val="24"/>
              </w:rPr>
              <w:t>单相220V，50HZ</w:t>
            </w:r>
          </w:p>
        </w:tc>
      </w:tr>
    </w:tbl>
    <w:p>
      <w:pPr>
        <w:pStyle w:val="60"/>
        <w:spacing w:line="400" w:lineRule="atLeast"/>
        <w:ind w:firstLine="0"/>
        <w:rPr>
          <w:rFonts w:ascii="仿宋" w:hAnsi="仿宋" w:eastAsia="仿宋" w:cs="宋体"/>
          <w:b/>
          <w:szCs w:val="24"/>
        </w:rPr>
      </w:pPr>
    </w:p>
    <w:p>
      <w:pPr>
        <w:pStyle w:val="60"/>
        <w:numPr>
          <w:ilvl w:val="0"/>
          <w:numId w:val="1"/>
        </w:numPr>
        <w:adjustRightInd/>
        <w:spacing w:line="400" w:lineRule="atLeast"/>
        <w:ind w:firstLine="0"/>
        <w:rPr>
          <w:rFonts w:ascii="仿宋" w:hAnsi="仿宋" w:eastAsia="仿宋" w:cs="宋体"/>
          <w:b/>
          <w:szCs w:val="24"/>
        </w:rPr>
      </w:pPr>
      <w:r>
        <w:rPr>
          <w:rFonts w:hint="eastAsia" w:ascii="仿宋" w:hAnsi="仿宋" w:eastAsia="仿宋" w:cs="宋体"/>
          <w:b/>
          <w:szCs w:val="24"/>
        </w:rPr>
        <w:t>电梯装潢说明</w:t>
      </w:r>
    </w:p>
    <w:tbl>
      <w:tblPr>
        <w:tblStyle w:val="62"/>
        <w:tblpPr w:leftFromText="180" w:rightFromText="180" w:vertAnchor="text" w:horzAnchor="page" w:tblpX="1512" w:tblpY="261"/>
        <w:tblOverlap w:val="never"/>
        <w:tblW w:w="8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87"/>
        <w:gridCol w:w="1650"/>
        <w:gridCol w:w="525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90" w:hRule="atLeast"/>
        </w:trPr>
        <w:tc>
          <w:tcPr>
            <w:tcW w:w="2437" w:type="dxa"/>
            <w:gridSpan w:val="2"/>
            <w:vAlign w:val="center"/>
          </w:tcPr>
          <w:p>
            <w:pPr>
              <w:pStyle w:val="89"/>
              <w:autoSpaceDE w:val="0"/>
              <w:autoSpaceDN w:val="0"/>
              <w:adjustRightInd w:val="0"/>
              <w:spacing w:line="400" w:lineRule="atLeast"/>
              <w:rPr>
                <w:rFonts w:ascii="仿宋" w:hAnsi="仿宋" w:eastAsia="仿宋" w:cs="宋体"/>
                <w:b/>
                <w:sz w:val="24"/>
              </w:rPr>
            </w:pPr>
            <w:r>
              <w:rPr>
                <w:rFonts w:hint="eastAsia" w:ascii="仿宋" w:hAnsi="仿宋" w:eastAsia="仿宋" w:cs="宋体"/>
                <w:b/>
                <w:sz w:val="24"/>
              </w:rPr>
              <w:t>位置</w:t>
            </w:r>
          </w:p>
        </w:tc>
        <w:tc>
          <w:tcPr>
            <w:tcW w:w="5250" w:type="dxa"/>
            <w:vAlign w:val="center"/>
          </w:tcPr>
          <w:p>
            <w:pPr>
              <w:pStyle w:val="89"/>
              <w:autoSpaceDE w:val="0"/>
              <w:autoSpaceDN w:val="0"/>
              <w:adjustRightInd w:val="0"/>
              <w:spacing w:line="400" w:lineRule="atLeast"/>
              <w:rPr>
                <w:rFonts w:ascii="仿宋" w:hAnsi="仿宋" w:eastAsia="仿宋" w:cs="宋体"/>
                <w:b/>
                <w:sz w:val="24"/>
              </w:rPr>
            </w:pPr>
            <w:r>
              <w:rPr>
                <w:rFonts w:hint="eastAsia" w:ascii="仿宋" w:hAnsi="仿宋" w:eastAsia="仿宋" w:cs="宋体"/>
                <w:b/>
                <w:sz w:val="24"/>
              </w:rPr>
              <w:t>要       求</w:t>
            </w:r>
          </w:p>
        </w:tc>
        <w:tc>
          <w:tcPr>
            <w:tcW w:w="1047" w:type="dxa"/>
            <w:vAlign w:val="center"/>
          </w:tcPr>
          <w:p>
            <w:pPr>
              <w:pStyle w:val="89"/>
              <w:autoSpaceDE w:val="0"/>
              <w:autoSpaceDN w:val="0"/>
              <w:adjustRightInd w:val="0"/>
              <w:spacing w:line="400" w:lineRule="atLeast"/>
              <w:rPr>
                <w:rFonts w:ascii="仿宋" w:hAnsi="仿宋"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65" w:hRule="atLeast"/>
        </w:trPr>
        <w:tc>
          <w:tcPr>
            <w:tcW w:w="787" w:type="dxa"/>
            <w:vMerge w:val="restart"/>
            <w:vAlign w:val="center"/>
          </w:tcPr>
          <w:p>
            <w:pPr>
              <w:pStyle w:val="89"/>
              <w:autoSpaceDE w:val="0"/>
              <w:autoSpaceDN w:val="0"/>
              <w:adjustRightInd w:val="0"/>
              <w:spacing w:line="400" w:lineRule="atLeast"/>
              <w:jc w:val="center"/>
              <w:rPr>
                <w:rFonts w:ascii="仿宋" w:hAnsi="仿宋" w:eastAsia="仿宋" w:cs="宋体"/>
                <w:sz w:val="24"/>
              </w:rPr>
            </w:pPr>
            <w:r>
              <w:rPr>
                <w:rFonts w:hint="eastAsia" w:ascii="仿宋" w:hAnsi="仿宋" w:eastAsia="仿宋" w:cs="宋体"/>
                <w:sz w:val="24"/>
              </w:rPr>
              <w:t>轿</w:t>
            </w:r>
          </w:p>
          <w:p>
            <w:pPr>
              <w:pStyle w:val="89"/>
              <w:autoSpaceDE w:val="0"/>
              <w:autoSpaceDN w:val="0"/>
              <w:adjustRightInd w:val="0"/>
              <w:spacing w:line="400" w:lineRule="atLeast"/>
              <w:jc w:val="center"/>
              <w:rPr>
                <w:rFonts w:ascii="仿宋" w:hAnsi="仿宋" w:eastAsia="仿宋" w:cs="宋体"/>
                <w:sz w:val="24"/>
              </w:rPr>
            </w:pPr>
            <w:r>
              <w:rPr>
                <w:rFonts w:hint="eastAsia" w:ascii="仿宋" w:hAnsi="仿宋" w:eastAsia="仿宋" w:cs="宋体"/>
                <w:sz w:val="24"/>
              </w:rPr>
              <w:t>厢</w:t>
            </w: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轿厢壁</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SUS304发纹不锈钢。</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0" w:hRule="atLeast"/>
        </w:trPr>
        <w:tc>
          <w:tcPr>
            <w:tcW w:w="787" w:type="dxa"/>
            <w:vMerge w:val="continue"/>
            <w:vAlign w:val="center"/>
          </w:tcPr>
          <w:p>
            <w:pPr>
              <w:pStyle w:val="89"/>
              <w:autoSpaceDE w:val="0"/>
              <w:autoSpaceDN w:val="0"/>
              <w:adjustRightInd w:val="0"/>
              <w:spacing w:line="400" w:lineRule="atLeast"/>
              <w:jc w:val="center"/>
              <w:rPr>
                <w:rFonts w:ascii="仿宋" w:hAnsi="仿宋" w:eastAsia="仿宋" w:cs="宋体"/>
                <w:sz w:val="24"/>
              </w:rPr>
            </w:pP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轿厢门</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SUS304发纹不锈钢。</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0" w:hRule="atLeast"/>
        </w:trPr>
        <w:tc>
          <w:tcPr>
            <w:tcW w:w="787" w:type="dxa"/>
            <w:vMerge w:val="continue"/>
            <w:vAlign w:val="center"/>
          </w:tcPr>
          <w:p>
            <w:pPr>
              <w:pStyle w:val="89"/>
              <w:autoSpaceDE w:val="0"/>
              <w:autoSpaceDN w:val="0"/>
              <w:adjustRightInd w:val="0"/>
              <w:spacing w:line="400" w:lineRule="atLeast"/>
              <w:jc w:val="center"/>
              <w:rPr>
                <w:rFonts w:ascii="仿宋" w:hAnsi="仿宋" w:eastAsia="仿宋" w:cs="宋体"/>
                <w:sz w:val="24"/>
              </w:rPr>
            </w:pP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轿厢天花板</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标准装饰，顶部装饰含灯光和通风扇</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0" w:hRule="atLeast"/>
        </w:trPr>
        <w:tc>
          <w:tcPr>
            <w:tcW w:w="787" w:type="dxa"/>
            <w:vMerge w:val="continue"/>
            <w:vAlign w:val="center"/>
          </w:tcPr>
          <w:p>
            <w:pPr>
              <w:pStyle w:val="89"/>
              <w:autoSpaceDE w:val="0"/>
              <w:autoSpaceDN w:val="0"/>
              <w:adjustRightInd w:val="0"/>
              <w:spacing w:line="400" w:lineRule="atLeast"/>
              <w:jc w:val="center"/>
              <w:rPr>
                <w:rFonts w:ascii="仿宋" w:hAnsi="仿宋" w:eastAsia="仿宋" w:cs="宋体"/>
                <w:sz w:val="24"/>
              </w:rPr>
            </w:pP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轿厢地板</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大理石拼花</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0" w:hRule="atLeast"/>
        </w:trPr>
        <w:tc>
          <w:tcPr>
            <w:tcW w:w="787" w:type="dxa"/>
            <w:vMerge w:val="continue"/>
            <w:vAlign w:val="center"/>
          </w:tcPr>
          <w:p>
            <w:pPr>
              <w:pStyle w:val="89"/>
              <w:autoSpaceDE w:val="0"/>
              <w:autoSpaceDN w:val="0"/>
              <w:adjustRightInd w:val="0"/>
              <w:spacing w:line="400" w:lineRule="atLeast"/>
              <w:jc w:val="center"/>
              <w:rPr>
                <w:rFonts w:ascii="仿宋" w:hAnsi="仿宋" w:eastAsia="仿宋" w:cs="宋体"/>
                <w:sz w:val="24"/>
              </w:rPr>
            </w:pP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轿厢通风</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低噪音风机通风</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0" w:hRule="atLeast"/>
        </w:trPr>
        <w:tc>
          <w:tcPr>
            <w:tcW w:w="787" w:type="dxa"/>
            <w:vMerge w:val="continue"/>
            <w:vAlign w:val="center"/>
          </w:tcPr>
          <w:p>
            <w:pPr>
              <w:pStyle w:val="89"/>
              <w:autoSpaceDE w:val="0"/>
              <w:autoSpaceDN w:val="0"/>
              <w:adjustRightInd w:val="0"/>
              <w:spacing w:line="400" w:lineRule="atLeast"/>
              <w:jc w:val="center"/>
              <w:rPr>
                <w:rFonts w:ascii="仿宋" w:hAnsi="仿宋" w:eastAsia="仿宋" w:cs="宋体"/>
                <w:sz w:val="24"/>
              </w:rPr>
            </w:pP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轿厢门坎</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硬质铝合金</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0" w:hRule="atLeast"/>
        </w:trPr>
        <w:tc>
          <w:tcPr>
            <w:tcW w:w="787" w:type="dxa"/>
            <w:vMerge w:val="continue"/>
            <w:vAlign w:val="center"/>
          </w:tcPr>
          <w:p>
            <w:pPr>
              <w:pStyle w:val="89"/>
              <w:autoSpaceDE w:val="0"/>
              <w:autoSpaceDN w:val="0"/>
              <w:adjustRightInd w:val="0"/>
              <w:spacing w:line="400" w:lineRule="atLeast"/>
              <w:jc w:val="center"/>
              <w:rPr>
                <w:rFonts w:ascii="仿宋" w:hAnsi="仿宋" w:eastAsia="仿宋" w:cs="宋体"/>
                <w:sz w:val="24"/>
              </w:rPr>
            </w:pP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轿厢照明</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LED照明装置，配置应急照明</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0" w:hRule="atLeast"/>
        </w:trPr>
        <w:tc>
          <w:tcPr>
            <w:tcW w:w="787" w:type="dxa"/>
            <w:vMerge w:val="continue"/>
            <w:vAlign w:val="center"/>
          </w:tcPr>
          <w:p>
            <w:pPr>
              <w:pStyle w:val="89"/>
              <w:autoSpaceDE w:val="0"/>
              <w:autoSpaceDN w:val="0"/>
              <w:adjustRightInd w:val="0"/>
              <w:spacing w:line="400" w:lineRule="atLeast"/>
              <w:jc w:val="center"/>
              <w:rPr>
                <w:rFonts w:ascii="仿宋" w:hAnsi="仿宋" w:eastAsia="仿宋" w:cs="宋体"/>
                <w:sz w:val="24"/>
              </w:rPr>
            </w:pPr>
          </w:p>
        </w:tc>
        <w:tc>
          <w:tcPr>
            <w:tcW w:w="1650" w:type="dxa"/>
            <w:vAlign w:val="center"/>
          </w:tcPr>
          <w:p>
            <w:pPr>
              <w:pStyle w:val="89"/>
              <w:spacing w:line="400" w:lineRule="atLeast"/>
              <w:rPr>
                <w:rFonts w:ascii="仿宋" w:hAnsi="仿宋" w:eastAsia="仿宋" w:cs="宋体"/>
                <w:sz w:val="24"/>
              </w:rPr>
            </w:pPr>
            <w:r>
              <w:rPr>
                <w:rFonts w:hint="eastAsia" w:ascii="仿宋" w:hAnsi="仿宋" w:eastAsia="仿宋" w:cs="宋体"/>
                <w:sz w:val="24"/>
              </w:rPr>
              <w:t>其它</w:t>
            </w:r>
          </w:p>
        </w:tc>
        <w:tc>
          <w:tcPr>
            <w:tcW w:w="5250" w:type="dxa"/>
            <w:vAlign w:val="center"/>
          </w:tcPr>
          <w:p>
            <w:pPr>
              <w:pStyle w:val="89"/>
              <w:spacing w:line="400" w:lineRule="atLeast"/>
              <w:rPr>
                <w:rFonts w:ascii="仿宋" w:hAnsi="仿宋" w:eastAsia="仿宋" w:cs="宋体"/>
                <w:sz w:val="24"/>
              </w:rPr>
            </w:pPr>
            <w:r>
              <w:rPr>
                <w:rFonts w:hint="eastAsia" w:ascii="仿宋" w:hAnsi="仿宋" w:eastAsia="仿宋" w:cs="宋体"/>
                <w:sz w:val="24"/>
              </w:rPr>
              <w:t>隐藏式对讲装置、语音报站</w:t>
            </w:r>
          </w:p>
        </w:tc>
        <w:tc>
          <w:tcPr>
            <w:tcW w:w="1047" w:type="dxa"/>
            <w:vAlign w:val="center"/>
          </w:tcPr>
          <w:p>
            <w:pPr>
              <w:pStyle w:val="89"/>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63" w:hRule="atLeast"/>
        </w:trPr>
        <w:tc>
          <w:tcPr>
            <w:tcW w:w="787" w:type="dxa"/>
            <w:vMerge w:val="restart"/>
            <w:vAlign w:val="center"/>
          </w:tcPr>
          <w:p>
            <w:pPr>
              <w:pStyle w:val="89"/>
              <w:autoSpaceDE w:val="0"/>
              <w:autoSpaceDN w:val="0"/>
              <w:adjustRightInd w:val="0"/>
              <w:spacing w:line="400" w:lineRule="atLeast"/>
              <w:jc w:val="center"/>
              <w:rPr>
                <w:rFonts w:ascii="仿宋" w:hAnsi="仿宋" w:eastAsia="仿宋" w:cs="宋体"/>
                <w:sz w:val="24"/>
              </w:rPr>
            </w:pPr>
            <w:r>
              <w:rPr>
                <w:rFonts w:hint="eastAsia" w:ascii="仿宋" w:hAnsi="仿宋" w:eastAsia="仿宋" w:cs="宋体"/>
                <w:sz w:val="24"/>
              </w:rPr>
              <w:t>候</w:t>
            </w:r>
          </w:p>
          <w:p>
            <w:pPr>
              <w:pStyle w:val="89"/>
              <w:autoSpaceDE w:val="0"/>
              <w:autoSpaceDN w:val="0"/>
              <w:adjustRightInd w:val="0"/>
              <w:spacing w:line="400" w:lineRule="atLeast"/>
              <w:jc w:val="center"/>
              <w:rPr>
                <w:rFonts w:ascii="仿宋" w:hAnsi="仿宋" w:eastAsia="仿宋" w:cs="宋体"/>
                <w:sz w:val="24"/>
              </w:rPr>
            </w:pPr>
            <w:r>
              <w:rPr>
                <w:rFonts w:hint="eastAsia" w:ascii="仿宋" w:hAnsi="仿宋" w:eastAsia="仿宋" w:cs="宋体"/>
                <w:sz w:val="24"/>
              </w:rPr>
              <w:t>梯</w:t>
            </w:r>
          </w:p>
          <w:p>
            <w:pPr>
              <w:pStyle w:val="89"/>
              <w:autoSpaceDE w:val="0"/>
              <w:autoSpaceDN w:val="0"/>
              <w:adjustRightInd w:val="0"/>
              <w:spacing w:line="400" w:lineRule="atLeast"/>
              <w:jc w:val="center"/>
              <w:rPr>
                <w:rFonts w:ascii="仿宋" w:hAnsi="仿宋" w:eastAsia="仿宋" w:cs="宋体"/>
                <w:sz w:val="24"/>
              </w:rPr>
            </w:pPr>
            <w:r>
              <w:rPr>
                <w:rFonts w:hint="eastAsia" w:ascii="仿宋" w:hAnsi="仿宋" w:eastAsia="仿宋" w:cs="宋体"/>
                <w:sz w:val="24"/>
              </w:rPr>
              <w:t>厅</w:t>
            </w: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厅门及门套</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每层标准型厅门和</w:t>
            </w:r>
            <w:r>
              <w:rPr>
                <w:rFonts w:hint="eastAsia" w:ascii="仿宋" w:hAnsi="仿宋" w:eastAsia="仿宋" w:cs="宋体"/>
                <w:bCs/>
                <w:sz w:val="24"/>
              </w:rPr>
              <w:t>大门套</w:t>
            </w:r>
            <w:r>
              <w:rPr>
                <w:rFonts w:hint="eastAsia" w:ascii="仿宋" w:hAnsi="仿宋" w:eastAsia="仿宋" w:cs="宋体"/>
                <w:sz w:val="24"/>
              </w:rPr>
              <w:t>，均选用1.5mm及以上厚SUS304发纹不锈钢；</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00" w:hRule="atLeast"/>
        </w:trPr>
        <w:tc>
          <w:tcPr>
            <w:tcW w:w="787" w:type="dxa"/>
            <w:vMerge w:val="continue"/>
            <w:vAlign w:val="center"/>
          </w:tcPr>
          <w:p>
            <w:pPr>
              <w:pStyle w:val="89"/>
              <w:autoSpaceDE w:val="0"/>
              <w:autoSpaceDN w:val="0"/>
              <w:adjustRightInd w:val="0"/>
              <w:spacing w:line="400" w:lineRule="atLeast"/>
              <w:rPr>
                <w:rFonts w:ascii="仿宋" w:hAnsi="仿宋" w:eastAsia="仿宋" w:cs="宋体"/>
                <w:sz w:val="24"/>
              </w:rPr>
            </w:pP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厅门门坎</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硬质铝合金，（每个地坎钢支架必须配4个）</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0" w:hRule="atLeast"/>
        </w:trPr>
        <w:tc>
          <w:tcPr>
            <w:tcW w:w="787" w:type="dxa"/>
            <w:vMerge w:val="continue"/>
            <w:vAlign w:val="center"/>
          </w:tcPr>
          <w:p>
            <w:pPr>
              <w:pStyle w:val="89"/>
              <w:autoSpaceDE w:val="0"/>
              <w:autoSpaceDN w:val="0"/>
              <w:adjustRightInd w:val="0"/>
              <w:spacing w:line="400" w:lineRule="atLeast"/>
              <w:rPr>
                <w:rFonts w:ascii="仿宋" w:hAnsi="仿宋" w:eastAsia="仿宋" w:cs="宋体"/>
                <w:sz w:val="24"/>
              </w:rPr>
            </w:pP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候梯厅显示、召唤盒及按钮</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操作盘采用一体化，SUS304发纹不锈钢面板；微动按扭（采用不锈钢材质）；液晶显示轿厢运行方向及位置（不小于10寸）</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80" w:hRule="atLeast"/>
        </w:trPr>
        <w:tc>
          <w:tcPr>
            <w:tcW w:w="787" w:type="dxa"/>
            <w:vMerge w:val="continue"/>
            <w:vAlign w:val="center"/>
          </w:tcPr>
          <w:p>
            <w:pPr>
              <w:pStyle w:val="89"/>
              <w:autoSpaceDE w:val="0"/>
              <w:autoSpaceDN w:val="0"/>
              <w:adjustRightInd w:val="0"/>
              <w:spacing w:line="400" w:lineRule="atLeast"/>
              <w:rPr>
                <w:rFonts w:ascii="仿宋" w:hAnsi="仿宋" w:eastAsia="仿宋" w:cs="宋体"/>
                <w:sz w:val="24"/>
              </w:rPr>
            </w:pPr>
          </w:p>
        </w:tc>
        <w:tc>
          <w:tcPr>
            <w:tcW w:w="16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轿厢内铭牌</w:t>
            </w:r>
          </w:p>
        </w:tc>
        <w:tc>
          <w:tcPr>
            <w:tcW w:w="5250" w:type="dxa"/>
            <w:vAlign w:val="center"/>
          </w:tcPr>
          <w:p>
            <w:pPr>
              <w:pStyle w:val="89"/>
              <w:autoSpaceDE w:val="0"/>
              <w:autoSpaceDN w:val="0"/>
              <w:adjustRightInd w:val="0"/>
              <w:spacing w:line="400" w:lineRule="atLeast"/>
              <w:rPr>
                <w:rFonts w:ascii="仿宋" w:hAnsi="仿宋" w:eastAsia="仿宋" w:cs="宋体"/>
                <w:sz w:val="24"/>
              </w:rPr>
            </w:pPr>
            <w:r>
              <w:rPr>
                <w:rFonts w:hint="eastAsia" w:ascii="仿宋" w:hAnsi="仿宋" w:eastAsia="仿宋" w:cs="宋体"/>
                <w:sz w:val="24"/>
              </w:rPr>
              <w:t>铭牌：标明电梯品牌、额定载重量、人数等</w:t>
            </w:r>
          </w:p>
        </w:tc>
        <w:tc>
          <w:tcPr>
            <w:tcW w:w="1047" w:type="dxa"/>
            <w:vAlign w:val="center"/>
          </w:tcPr>
          <w:p>
            <w:pPr>
              <w:pStyle w:val="89"/>
              <w:autoSpaceDE w:val="0"/>
              <w:autoSpaceDN w:val="0"/>
              <w:adjustRightInd w:val="0"/>
              <w:spacing w:line="400" w:lineRule="atLeast"/>
              <w:rPr>
                <w:rFonts w:ascii="仿宋" w:hAnsi="仿宋" w:eastAsia="仿宋" w:cs="宋体"/>
                <w:sz w:val="24"/>
              </w:rPr>
            </w:pPr>
          </w:p>
        </w:tc>
      </w:tr>
    </w:tbl>
    <w:p>
      <w:pPr>
        <w:rPr>
          <w:rFonts w:ascii="仿宋" w:hAnsi="仿宋" w:eastAsia="仿宋" w:cs="宋体"/>
          <w:sz w:val="24"/>
        </w:rPr>
      </w:pPr>
    </w:p>
    <w:p>
      <w:pPr>
        <w:rPr>
          <w:rFonts w:ascii="仿宋" w:hAnsi="仿宋" w:eastAsia="仿宋" w:cs="宋体"/>
          <w:sz w:val="24"/>
        </w:rPr>
      </w:pPr>
    </w:p>
    <w:p>
      <w:pPr>
        <w:spacing w:line="400" w:lineRule="atLeast"/>
        <w:jc w:val="left"/>
        <w:rPr>
          <w:rFonts w:ascii="仿宋" w:hAnsi="仿宋" w:eastAsia="仿宋" w:cs="Vrinda"/>
          <w:b/>
          <w:bCs/>
          <w:sz w:val="24"/>
        </w:rPr>
      </w:pPr>
    </w:p>
    <w:p>
      <w:pPr>
        <w:spacing w:line="360" w:lineRule="auto"/>
        <w:jc w:val="left"/>
        <w:rPr>
          <w:rFonts w:ascii="仿宋" w:hAnsi="仿宋" w:eastAsia="仿宋" w:cs="Vrinda"/>
          <w:b/>
          <w:bCs/>
          <w:sz w:val="24"/>
        </w:rPr>
      </w:pPr>
      <w:r>
        <w:rPr>
          <w:rFonts w:hint="eastAsia" w:ascii="仿宋" w:hAnsi="仿宋" w:eastAsia="仿宋" w:cs="Vrinda"/>
          <w:b/>
          <w:bCs/>
          <w:sz w:val="24"/>
        </w:rPr>
        <w:t>四</w:t>
      </w:r>
      <w:r>
        <w:rPr>
          <w:rFonts w:ascii="仿宋" w:hAnsi="仿宋" w:eastAsia="仿宋" w:cs="Vrinda"/>
          <w:b/>
          <w:bCs/>
          <w:sz w:val="24"/>
        </w:rPr>
        <w:t>、</w:t>
      </w:r>
      <w:r>
        <w:rPr>
          <w:rFonts w:hint="eastAsia" w:ascii="仿宋" w:hAnsi="仿宋" w:eastAsia="仿宋" w:cs="Vrinda"/>
          <w:b/>
          <w:bCs/>
          <w:sz w:val="24"/>
        </w:rPr>
        <w:t>功能</w:t>
      </w:r>
      <w:r>
        <w:rPr>
          <w:rFonts w:ascii="仿宋" w:hAnsi="仿宋" w:eastAsia="仿宋" w:cs="Vrinda"/>
          <w:b/>
          <w:bCs/>
          <w:sz w:val="24"/>
        </w:rPr>
        <w:t>配备</w:t>
      </w:r>
    </w:p>
    <w:tbl>
      <w:tblPr>
        <w:tblStyle w:val="62"/>
        <w:tblW w:w="8574"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747"/>
        <w:gridCol w:w="6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12" w:type="dxa"/>
            <w:vAlign w:val="center"/>
          </w:tcPr>
          <w:p>
            <w:pPr>
              <w:spacing w:line="400" w:lineRule="atLeast"/>
              <w:rPr>
                <w:rFonts w:ascii="仿宋" w:hAnsi="仿宋" w:eastAsia="仿宋"/>
                <w:b/>
                <w:bCs/>
                <w:sz w:val="24"/>
              </w:rPr>
            </w:pPr>
            <w:r>
              <w:rPr>
                <w:rFonts w:hint="eastAsia" w:ascii="仿宋" w:hAnsi="仿宋" w:eastAsia="仿宋"/>
                <w:b/>
                <w:bCs/>
                <w:sz w:val="24"/>
              </w:rPr>
              <w:t>序号</w:t>
            </w:r>
          </w:p>
        </w:tc>
        <w:tc>
          <w:tcPr>
            <w:tcW w:w="1747" w:type="dxa"/>
            <w:vAlign w:val="center"/>
          </w:tcPr>
          <w:p>
            <w:pPr>
              <w:spacing w:line="400" w:lineRule="atLeast"/>
              <w:rPr>
                <w:rFonts w:ascii="仿宋" w:hAnsi="仿宋" w:eastAsia="仿宋"/>
                <w:b/>
                <w:bCs/>
                <w:sz w:val="24"/>
              </w:rPr>
            </w:pPr>
            <w:r>
              <w:rPr>
                <w:rFonts w:hint="eastAsia" w:ascii="仿宋" w:hAnsi="仿宋" w:eastAsia="仿宋"/>
                <w:b/>
                <w:bCs/>
                <w:sz w:val="24"/>
              </w:rPr>
              <w:t>项目</w:t>
            </w:r>
          </w:p>
        </w:tc>
        <w:tc>
          <w:tcPr>
            <w:tcW w:w="6115" w:type="dxa"/>
            <w:vAlign w:val="center"/>
          </w:tcPr>
          <w:p>
            <w:pPr>
              <w:spacing w:line="400" w:lineRule="atLeast"/>
              <w:rPr>
                <w:rFonts w:ascii="仿宋" w:hAnsi="仿宋" w:eastAsia="仿宋"/>
                <w:b/>
                <w:bCs/>
                <w:sz w:val="24"/>
              </w:rPr>
            </w:pPr>
            <w:r>
              <w:rPr>
                <w:rFonts w:hint="eastAsia" w:ascii="仿宋" w:hAnsi="仿宋" w:eastAsia="仿宋"/>
                <w:b/>
                <w:bCs/>
                <w:sz w:val="24"/>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Align w:val="center"/>
          </w:tcPr>
          <w:p>
            <w:pPr>
              <w:spacing w:line="400" w:lineRule="atLeast"/>
              <w:rPr>
                <w:rFonts w:ascii="仿宋" w:hAnsi="仿宋" w:eastAsia="仿宋"/>
                <w:sz w:val="24"/>
              </w:rPr>
            </w:pPr>
            <w:r>
              <w:rPr>
                <w:rFonts w:hint="eastAsia" w:ascii="仿宋" w:hAnsi="仿宋" w:eastAsia="仿宋"/>
                <w:sz w:val="24"/>
              </w:rPr>
              <w:t>1</w:t>
            </w:r>
          </w:p>
        </w:tc>
        <w:tc>
          <w:tcPr>
            <w:tcW w:w="1747" w:type="dxa"/>
            <w:vAlign w:val="center"/>
          </w:tcPr>
          <w:p>
            <w:pPr>
              <w:spacing w:line="400" w:lineRule="atLeast"/>
              <w:rPr>
                <w:rFonts w:ascii="仿宋" w:hAnsi="仿宋" w:eastAsia="仿宋"/>
                <w:sz w:val="24"/>
              </w:rPr>
            </w:pPr>
            <w:r>
              <w:rPr>
                <w:rFonts w:hint="eastAsia" w:ascii="仿宋" w:hAnsi="仿宋" w:eastAsia="仿宋"/>
                <w:sz w:val="24"/>
              </w:rPr>
              <w:t>基本功能</w:t>
            </w:r>
          </w:p>
        </w:tc>
        <w:tc>
          <w:tcPr>
            <w:tcW w:w="6115" w:type="dxa"/>
            <w:vAlign w:val="center"/>
          </w:tcPr>
          <w:p>
            <w:pPr>
              <w:numPr>
                <w:ilvl w:val="0"/>
                <w:numId w:val="2"/>
              </w:numPr>
              <w:tabs>
                <w:tab w:val="left" w:pos="5405"/>
              </w:tabs>
              <w:adjustRightInd/>
              <w:spacing w:line="400" w:lineRule="atLeast"/>
              <w:rPr>
                <w:rFonts w:ascii="仿宋" w:hAnsi="仿宋" w:eastAsia="仿宋"/>
                <w:sz w:val="24"/>
              </w:rPr>
            </w:pPr>
            <w:r>
              <w:rPr>
                <w:rFonts w:ascii="仿宋" w:hAnsi="仿宋" w:eastAsia="仿宋"/>
                <w:sz w:val="24"/>
              </w:rPr>
              <w:t xml:space="preserve">集选变频调速                       </w:t>
            </w:r>
          </w:p>
          <w:p>
            <w:pPr>
              <w:tabs>
                <w:tab w:val="left" w:pos="5405"/>
              </w:tabs>
              <w:spacing w:line="400" w:lineRule="atLeast"/>
              <w:rPr>
                <w:rFonts w:ascii="仿宋" w:hAnsi="仿宋" w:eastAsia="仿宋"/>
                <w:sz w:val="24"/>
              </w:rPr>
            </w:pPr>
            <w:r>
              <w:rPr>
                <w:rFonts w:ascii="仿宋" w:hAnsi="仿宋" w:eastAsia="仿宋"/>
                <w:sz w:val="24"/>
              </w:rPr>
              <w:t>2、有/无司机操作</w:t>
            </w:r>
          </w:p>
          <w:p>
            <w:pPr>
              <w:tabs>
                <w:tab w:val="left" w:pos="5405"/>
              </w:tabs>
              <w:spacing w:line="400" w:lineRule="atLeast"/>
              <w:rPr>
                <w:rFonts w:ascii="仿宋" w:hAnsi="仿宋" w:eastAsia="仿宋"/>
                <w:sz w:val="24"/>
              </w:rPr>
            </w:pPr>
            <w:r>
              <w:rPr>
                <w:rFonts w:ascii="仿宋" w:hAnsi="仿宋" w:eastAsia="仿宋"/>
                <w:sz w:val="24"/>
              </w:rPr>
              <w:t xml:space="preserve">3、自动平层、自动开门                 </w:t>
            </w:r>
          </w:p>
          <w:p>
            <w:pPr>
              <w:tabs>
                <w:tab w:val="left" w:pos="5405"/>
              </w:tabs>
              <w:spacing w:line="400" w:lineRule="atLeast"/>
              <w:rPr>
                <w:rFonts w:ascii="仿宋" w:hAnsi="仿宋" w:eastAsia="仿宋"/>
                <w:sz w:val="24"/>
              </w:rPr>
            </w:pPr>
            <w:r>
              <w:rPr>
                <w:rFonts w:ascii="仿宋" w:hAnsi="仿宋" w:eastAsia="仿宋"/>
                <w:sz w:val="24"/>
              </w:rPr>
              <w:t>4、电梯专用电脑控制</w:t>
            </w:r>
          </w:p>
          <w:p>
            <w:pPr>
              <w:spacing w:line="400" w:lineRule="atLeast"/>
              <w:rPr>
                <w:rFonts w:ascii="仿宋" w:hAnsi="仿宋" w:eastAsia="仿宋"/>
                <w:sz w:val="24"/>
              </w:rPr>
            </w:pPr>
            <w:r>
              <w:rPr>
                <w:rFonts w:ascii="仿宋" w:hAnsi="仿宋" w:eastAsia="仿宋"/>
                <w:sz w:val="24"/>
              </w:rPr>
              <w:t xml:space="preserve">5、层门、轿门安全联锁保护功能        </w:t>
            </w:r>
          </w:p>
          <w:p>
            <w:pPr>
              <w:spacing w:line="400" w:lineRule="atLeast"/>
              <w:rPr>
                <w:rFonts w:ascii="仿宋" w:hAnsi="仿宋" w:eastAsia="仿宋"/>
                <w:sz w:val="24"/>
              </w:rPr>
            </w:pPr>
            <w:r>
              <w:rPr>
                <w:rFonts w:ascii="仿宋" w:hAnsi="仿宋" w:eastAsia="仿宋"/>
                <w:sz w:val="24"/>
              </w:rPr>
              <w:t>6、断相、错相保护功能</w:t>
            </w:r>
          </w:p>
          <w:p>
            <w:pPr>
              <w:spacing w:line="400" w:lineRule="atLeast"/>
              <w:rPr>
                <w:rFonts w:ascii="仿宋" w:hAnsi="仿宋" w:eastAsia="仿宋"/>
                <w:sz w:val="24"/>
              </w:rPr>
            </w:pPr>
            <w:r>
              <w:rPr>
                <w:rFonts w:ascii="仿宋" w:hAnsi="仿宋" w:eastAsia="仿宋"/>
                <w:sz w:val="24"/>
              </w:rPr>
              <w:t xml:space="preserve">7、超速防坠落装置                    </w:t>
            </w:r>
          </w:p>
          <w:p>
            <w:pPr>
              <w:spacing w:line="400" w:lineRule="atLeast"/>
              <w:rPr>
                <w:rFonts w:ascii="仿宋" w:hAnsi="仿宋" w:eastAsia="仿宋"/>
                <w:sz w:val="24"/>
              </w:rPr>
            </w:pPr>
            <w:r>
              <w:rPr>
                <w:rFonts w:ascii="仿宋" w:hAnsi="仿宋" w:eastAsia="仿宋"/>
                <w:sz w:val="24"/>
              </w:rPr>
              <w:t>8、端站越程保护功能</w:t>
            </w:r>
          </w:p>
          <w:p>
            <w:pPr>
              <w:spacing w:line="400" w:lineRule="atLeast"/>
              <w:rPr>
                <w:rFonts w:ascii="仿宋" w:hAnsi="仿宋" w:eastAsia="仿宋"/>
                <w:sz w:val="24"/>
              </w:rPr>
            </w:pPr>
            <w:r>
              <w:rPr>
                <w:rFonts w:ascii="仿宋" w:hAnsi="仿宋" w:eastAsia="仿宋"/>
                <w:sz w:val="24"/>
              </w:rPr>
              <w:t xml:space="preserve">9、轿内通风照明自动控制              </w:t>
            </w:r>
          </w:p>
          <w:p>
            <w:pPr>
              <w:spacing w:line="400" w:lineRule="atLeast"/>
              <w:rPr>
                <w:rFonts w:ascii="仿宋" w:hAnsi="仿宋" w:eastAsia="仿宋"/>
                <w:sz w:val="24"/>
              </w:rPr>
            </w:pPr>
            <w:r>
              <w:rPr>
                <w:rFonts w:ascii="仿宋" w:hAnsi="仿宋" w:eastAsia="仿宋"/>
                <w:sz w:val="24"/>
              </w:rPr>
              <w:t>10、强迫关门</w:t>
            </w:r>
          </w:p>
          <w:p>
            <w:pPr>
              <w:spacing w:line="400" w:lineRule="atLeast"/>
              <w:rPr>
                <w:rFonts w:ascii="仿宋" w:hAnsi="仿宋" w:eastAsia="仿宋"/>
                <w:sz w:val="24"/>
              </w:rPr>
            </w:pPr>
            <w:r>
              <w:rPr>
                <w:rFonts w:ascii="仿宋" w:hAnsi="仿宋" w:eastAsia="仿宋"/>
                <w:sz w:val="24"/>
              </w:rPr>
              <w:t xml:space="preserve">11、停电应急照明                      </w:t>
            </w:r>
          </w:p>
          <w:p>
            <w:pPr>
              <w:spacing w:line="400" w:lineRule="atLeast"/>
              <w:rPr>
                <w:rFonts w:ascii="仿宋" w:hAnsi="仿宋" w:eastAsia="仿宋"/>
                <w:sz w:val="24"/>
              </w:rPr>
            </w:pPr>
            <w:r>
              <w:rPr>
                <w:rFonts w:ascii="仿宋" w:hAnsi="仿宋" w:eastAsia="仿宋"/>
                <w:sz w:val="24"/>
              </w:rPr>
              <w:t>12、检修操作</w:t>
            </w:r>
          </w:p>
          <w:p>
            <w:pPr>
              <w:spacing w:line="400" w:lineRule="atLeast"/>
              <w:rPr>
                <w:rFonts w:ascii="仿宋" w:hAnsi="仿宋" w:eastAsia="仿宋"/>
                <w:sz w:val="24"/>
              </w:rPr>
            </w:pPr>
            <w:r>
              <w:rPr>
                <w:rFonts w:ascii="仿宋" w:hAnsi="仿宋" w:eastAsia="仿宋"/>
                <w:sz w:val="24"/>
              </w:rPr>
              <w:t xml:space="preserve">13、基站关机（各层站可选）            </w:t>
            </w:r>
          </w:p>
          <w:p>
            <w:pPr>
              <w:spacing w:line="400" w:lineRule="atLeast"/>
              <w:rPr>
                <w:rFonts w:ascii="仿宋" w:hAnsi="仿宋" w:eastAsia="仿宋"/>
                <w:sz w:val="24"/>
              </w:rPr>
            </w:pPr>
            <w:r>
              <w:rPr>
                <w:rFonts w:ascii="仿宋" w:hAnsi="仿宋" w:eastAsia="仿宋"/>
                <w:sz w:val="24"/>
              </w:rPr>
              <w:t>14、厅外呼梯-重复开关门</w:t>
            </w:r>
          </w:p>
          <w:p>
            <w:pPr>
              <w:spacing w:line="400" w:lineRule="atLeast"/>
              <w:rPr>
                <w:rFonts w:ascii="仿宋" w:hAnsi="仿宋" w:eastAsia="仿宋"/>
                <w:sz w:val="24"/>
              </w:rPr>
            </w:pPr>
            <w:r>
              <w:rPr>
                <w:rFonts w:ascii="仿宋" w:hAnsi="仿宋" w:eastAsia="仿宋"/>
                <w:sz w:val="24"/>
              </w:rPr>
              <w:t xml:space="preserve">15、超载报警                          </w:t>
            </w:r>
          </w:p>
          <w:p>
            <w:pPr>
              <w:spacing w:line="400" w:lineRule="atLeast"/>
              <w:rPr>
                <w:rFonts w:ascii="仿宋" w:hAnsi="仿宋" w:eastAsia="仿宋"/>
                <w:sz w:val="24"/>
              </w:rPr>
            </w:pPr>
            <w:r>
              <w:rPr>
                <w:rFonts w:ascii="仿宋" w:hAnsi="仿宋" w:eastAsia="仿宋"/>
                <w:sz w:val="24"/>
              </w:rPr>
              <w:t xml:space="preserve">16、红外线门保护            </w:t>
            </w:r>
          </w:p>
          <w:p>
            <w:pPr>
              <w:spacing w:line="400" w:lineRule="atLeast"/>
              <w:rPr>
                <w:rFonts w:ascii="仿宋" w:hAnsi="仿宋" w:eastAsia="仿宋"/>
                <w:sz w:val="24"/>
              </w:rPr>
            </w:pPr>
            <w:r>
              <w:rPr>
                <w:rFonts w:ascii="仿宋" w:hAnsi="仿宋" w:eastAsia="仿宋"/>
                <w:sz w:val="24"/>
              </w:rPr>
              <w:t xml:space="preserve">17、变频专用电机                      </w:t>
            </w:r>
          </w:p>
          <w:p>
            <w:pPr>
              <w:spacing w:line="400" w:lineRule="atLeast"/>
              <w:rPr>
                <w:rFonts w:ascii="仿宋" w:hAnsi="仿宋" w:eastAsia="仿宋"/>
                <w:sz w:val="24"/>
              </w:rPr>
            </w:pPr>
            <w:r>
              <w:rPr>
                <w:rFonts w:ascii="仿宋" w:hAnsi="仿宋" w:eastAsia="仿宋"/>
                <w:sz w:val="24"/>
              </w:rPr>
              <w:t>1</w:t>
            </w:r>
            <w:r>
              <w:rPr>
                <w:rFonts w:hint="eastAsia" w:ascii="仿宋" w:hAnsi="仿宋" w:eastAsia="仿宋"/>
                <w:sz w:val="24"/>
              </w:rPr>
              <w:t>8</w:t>
            </w:r>
            <w:r>
              <w:rPr>
                <w:rFonts w:ascii="仿宋" w:hAnsi="仿宋" w:eastAsia="仿宋"/>
                <w:sz w:val="24"/>
              </w:rPr>
              <w:t xml:space="preserve">、减速限时保护                      </w:t>
            </w:r>
          </w:p>
          <w:p>
            <w:pPr>
              <w:spacing w:line="400" w:lineRule="atLeast"/>
              <w:rPr>
                <w:rFonts w:ascii="仿宋" w:hAnsi="仿宋" w:eastAsia="仿宋"/>
                <w:sz w:val="24"/>
              </w:rPr>
            </w:pPr>
            <w:r>
              <w:rPr>
                <w:rFonts w:hint="eastAsia" w:ascii="仿宋" w:hAnsi="仿宋" w:eastAsia="仿宋"/>
                <w:sz w:val="24"/>
              </w:rPr>
              <w:t>19</w:t>
            </w:r>
            <w:r>
              <w:rPr>
                <w:rFonts w:ascii="仿宋" w:hAnsi="仿宋" w:eastAsia="仿宋"/>
                <w:sz w:val="24"/>
              </w:rPr>
              <w:t>、信号保持限时保护</w:t>
            </w:r>
            <w:r>
              <w:rPr>
                <w:rFonts w:hint="eastAsia" w:ascii="仿宋" w:hAnsi="仿宋" w:eastAsia="仿宋"/>
                <w:sz w:val="24"/>
              </w:rPr>
              <w:t xml:space="preserve">                  </w:t>
            </w:r>
          </w:p>
          <w:p>
            <w:pPr>
              <w:spacing w:line="400" w:lineRule="atLeast"/>
              <w:rPr>
                <w:rFonts w:ascii="仿宋" w:hAnsi="仿宋" w:eastAsia="仿宋"/>
                <w:sz w:val="24"/>
              </w:rPr>
            </w:pPr>
            <w:r>
              <w:rPr>
                <w:rFonts w:ascii="仿宋" w:hAnsi="仿宋" w:eastAsia="仿宋"/>
                <w:sz w:val="24"/>
              </w:rPr>
              <w:t>2</w:t>
            </w:r>
            <w:r>
              <w:rPr>
                <w:rFonts w:hint="eastAsia" w:ascii="仿宋" w:hAnsi="仿宋" w:eastAsia="仿宋"/>
                <w:sz w:val="24"/>
              </w:rPr>
              <w:t>0</w:t>
            </w:r>
            <w:r>
              <w:rPr>
                <w:rFonts w:ascii="仿宋" w:hAnsi="仿宋" w:eastAsia="仿宋"/>
                <w:sz w:val="24"/>
              </w:rPr>
              <w:t xml:space="preserve">、启动限时保护                      </w:t>
            </w:r>
          </w:p>
          <w:p>
            <w:pPr>
              <w:spacing w:line="400" w:lineRule="atLeast"/>
              <w:rPr>
                <w:rFonts w:ascii="仿宋" w:hAnsi="仿宋" w:eastAsia="仿宋"/>
                <w:sz w:val="24"/>
              </w:rPr>
            </w:pPr>
            <w:r>
              <w:rPr>
                <w:rFonts w:ascii="仿宋" w:hAnsi="仿宋" w:eastAsia="仿宋"/>
                <w:sz w:val="24"/>
              </w:rPr>
              <w:t>2</w:t>
            </w:r>
            <w:r>
              <w:rPr>
                <w:rFonts w:hint="eastAsia" w:ascii="仿宋" w:hAnsi="仿宋" w:eastAsia="仿宋"/>
                <w:sz w:val="24"/>
              </w:rPr>
              <w:t>1</w:t>
            </w:r>
            <w:r>
              <w:rPr>
                <w:rFonts w:ascii="仿宋" w:hAnsi="仿宋" w:eastAsia="仿宋"/>
                <w:sz w:val="24"/>
              </w:rPr>
              <w:t>、运行限时保护</w:t>
            </w:r>
            <w:r>
              <w:rPr>
                <w:rFonts w:hint="eastAsia" w:ascii="仿宋" w:hAnsi="仿宋" w:eastAsia="仿宋"/>
                <w:sz w:val="24"/>
              </w:rPr>
              <w:t xml:space="preserve">                      </w:t>
            </w:r>
          </w:p>
          <w:p>
            <w:pPr>
              <w:spacing w:line="400" w:lineRule="atLeast"/>
              <w:rPr>
                <w:rFonts w:ascii="仿宋" w:hAnsi="仿宋" w:eastAsia="仿宋"/>
                <w:sz w:val="24"/>
              </w:rPr>
            </w:pPr>
            <w:r>
              <w:rPr>
                <w:rFonts w:hint="eastAsia" w:ascii="仿宋" w:hAnsi="仿宋" w:eastAsia="仿宋"/>
                <w:sz w:val="24"/>
              </w:rPr>
              <w:t>22、</w:t>
            </w:r>
            <w:r>
              <w:rPr>
                <w:rFonts w:ascii="仿宋" w:hAnsi="仿宋" w:eastAsia="仿宋"/>
                <w:sz w:val="24"/>
              </w:rPr>
              <w:t>轿厢应急照明</w:t>
            </w:r>
            <w:r>
              <w:rPr>
                <w:rFonts w:hint="eastAsia" w:ascii="仿宋" w:hAnsi="仿宋" w:eastAsia="仿宋"/>
                <w:sz w:val="24"/>
              </w:rPr>
              <w:t xml:space="preserve">  </w:t>
            </w:r>
          </w:p>
          <w:p>
            <w:pPr>
              <w:spacing w:line="400" w:lineRule="atLeast"/>
              <w:rPr>
                <w:rFonts w:ascii="仿宋" w:hAnsi="仿宋" w:eastAsia="仿宋"/>
                <w:sz w:val="24"/>
              </w:rPr>
            </w:pPr>
            <w:r>
              <w:rPr>
                <w:rFonts w:hint="eastAsia" w:ascii="仿宋" w:hAnsi="仿宋" w:eastAsia="仿宋"/>
                <w:sz w:val="24"/>
              </w:rPr>
              <w:t>23、</w:t>
            </w:r>
            <w:r>
              <w:rPr>
                <w:rFonts w:ascii="仿宋" w:hAnsi="仿宋" w:eastAsia="仿宋"/>
                <w:sz w:val="24"/>
              </w:rPr>
              <w:t>警铃（轿顶）</w:t>
            </w:r>
            <w:r>
              <w:rPr>
                <w:rFonts w:hint="eastAsia" w:ascii="仿宋" w:hAnsi="仿宋" w:eastAsia="仿宋"/>
                <w:sz w:val="24"/>
              </w:rPr>
              <w:t xml:space="preserve">                      </w:t>
            </w:r>
          </w:p>
          <w:p>
            <w:pPr>
              <w:spacing w:line="400" w:lineRule="atLeast"/>
              <w:rPr>
                <w:rFonts w:ascii="仿宋" w:hAnsi="仿宋" w:eastAsia="仿宋"/>
                <w:sz w:val="24"/>
              </w:rPr>
            </w:pPr>
            <w:r>
              <w:rPr>
                <w:rFonts w:hint="eastAsia" w:ascii="仿宋" w:hAnsi="仿宋" w:eastAsia="仿宋"/>
                <w:sz w:val="24"/>
              </w:rPr>
              <w:t>24、五方通话（轿内）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5" w:hRule="atLeast"/>
        </w:trPr>
        <w:tc>
          <w:tcPr>
            <w:tcW w:w="712" w:type="dxa"/>
            <w:vAlign w:val="center"/>
          </w:tcPr>
          <w:p>
            <w:pPr>
              <w:spacing w:line="400" w:lineRule="atLeast"/>
              <w:rPr>
                <w:rFonts w:ascii="仿宋" w:hAnsi="仿宋" w:eastAsia="仿宋"/>
                <w:sz w:val="24"/>
              </w:rPr>
            </w:pPr>
            <w:r>
              <w:rPr>
                <w:rFonts w:hint="eastAsia" w:ascii="仿宋" w:hAnsi="仿宋" w:eastAsia="仿宋"/>
                <w:sz w:val="24"/>
              </w:rPr>
              <w:t>2</w:t>
            </w:r>
          </w:p>
        </w:tc>
        <w:tc>
          <w:tcPr>
            <w:tcW w:w="1747" w:type="dxa"/>
            <w:vAlign w:val="center"/>
          </w:tcPr>
          <w:p>
            <w:pPr>
              <w:spacing w:line="400" w:lineRule="atLeast"/>
              <w:rPr>
                <w:rFonts w:ascii="仿宋" w:hAnsi="仿宋" w:eastAsia="仿宋"/>
                <w:sz w:val="24"/>
              </w:rPr>
            </w:pPr>
            <w:r>
              <w:rPr>
                <w:rFonts w:hint="eastAsia" w:ascii="仿宋" w:hAnsi="仿宋" w:eastAsia="仿宋"/>
                <w:sz w:val="24"/>
              </w:rPr>
              <w:t>安全装置</w:t>
            </w:r>
          </w:p>
        </w:tc>
        <w:tc>
          <w:tcPr>
            <w:tcW w:w="6115" w:type="dxa"/>
            <w:vAlign w:val="center"/>
          </w:tcPr>
          <w:p>
            <w:pPr>
              <w:spacing w:line="400" w:lineRule="atLeast"/>
              <w:rPr>
                <w:rFonts w:ascii="仿宋" w:hAnsi="仿宋" w:eastAsia="仿宋"/>
                <w:sz w:val="24"/>
              </w:rPr>
            </w:pPr>
            <w:r>
              <w:rPr>
                <w:rFonts w:ascii="仿宋" w:hAnsi="仿宋" w:eastAsia="仿宋"/>
                <w:sz w:val="24"/>
              </w:rPr>
              <w:t>1、供电系统断相、错相保护装置</w:t>
            </w:r>
          </w:p>
          <w:p>
            <w:pPr>
              <w:spacing w:line="400" w:lineRule="atLeast"/>
              <w:rPr>
                <w:rFonts w:ascii="仿宋" w:hAnsi="仿宋" w:eastAsia="仿宋"/>
                <w:sz w:val="24"/>
              </w:rPr>
            </w:pPr>
            <w:r>
              <w:rPr>
                <w:rFonts w:ascii="仿宋" w:hAnsi="仿宋" w:eastAsia="仿宋"/>
                <w:sz w:val="24"/>
              </w:rPr>
              <w:t>2、超越上、下极限工作位置时的保护装置</w:t>
            </w:r>
          </w:p>
          <w:p>
            <w:pPr>
              <w:spacing w:line="400" w:lineRule="atLeast"/>
              <w:rPr>
                <w:rFonts w:ascii="仿宋" w:hAnsi="仿宋" w:eastAsia="仿宋"/>
                <w:sz w:val="24"/>
              </w:rPr>
            </w:pPr>
            <w:r>
              <w:rPr>
                <w:rFonts w:ascii="仿宋" w:hAnsi="仿宋" w:eastAsia="仿宋"/>
                <w:sz w:val="24"/>
              </w:rPr>
              <w:t>3、超越上、下端站工作位置的限位保护装置（不越出平层区）</w:t>
            </w:r>
          </w:p>
          <w:p>
            <w:pPr>
              <w:spacing w:line="400" w:lineRule="atLeast"/>
              <w:rPr>
                <w:rFonts w:ascii="仿宋" w:hAnsi="仿宋" w:eastAsia="仿宋"/>
                <w:sz w:val="24"/>
              </w:rPr>
            </w:pPr>
            <w:r>
              <w:rPr>
                <w:rFonts w:ascii="仿宋" w:hAnsi="仿宋" w:eastAsia="仿宋"/>
                <w:sz w:val="24"/>
              </w:rPr>
              <w:t>4、层门锁与轿门电气连锁装置</w:t>
            </w:r>
          </w:p>
          <w:p>
            <w:pPr>
              <w:spacing w:line="400" w:lineRule="atLeast"/>
              <w:rPr>
                <w:rFonts w:ascii="仿宋" w:hAnsi="仿宋" w:eastAsia="仿宋"/>
                <w:sz w:val="24"/>
              </w:rPr>
            </w:pPr>
            <w:r>
              <w:rPr>
                <w:rFonts w:ascii="仿宋" w:hAnsi="仿宋" w:eastAsia="仿宋"/>
                <w:sz w:val="24"/>
              </w:rPr>
              <w:t>5、停电或电气系统发生故障时，手动松闸，盘车移动轿厢的装置</w:t>
            </w:r>
          </w:p>
          <w:p>
            <w:pPr>
              <w:spacing w:line="400" w:lineRule="atLeast"/>
              <w:rPr>
                <w:rFonts w:ascii="仿宋" w:hAnsi="仿宋" w:eastAsia="仿宋"/>
                <w:sz w:val="24"/>
              </w:rPr>
            </w:pPr>
            <w:r>
              <w:rPr>
                <w:rFonts w:ascii="仿宋" w:hAnsi="仿宋" w:eastAsia="仿宋"/>
                <w:sz w:val="24"/>
              </w:rPr>
              <w:t>6、马达过热保护装置</w:t>
            </w:r>
          </w:p>
          <w:p>
            <w:pPr>
              <w:spacing w:line="400" w:lineRule="atLeast"/>
              <w:rPr>
                <w:rFonts w:ascii="仿宋" w:hAnsi="仿宋" w:eastAsia="仿宋"/>
                <w:sz w:val="24"/>
              </w:rPr>
            </w:pPr>
            <w:r>
              <w:rPr>
                <w:rFonts w:ascii="仿宋" w:hAnsi="仿宋" w:eastAsia="仿宋"/>
                <w:sz w:val="24"/>
              </w:rPr>
              <w:t>7、制动装置</w:t>
            </w:r>
          </w:p>
          <w:p>
            <w:pPr>
              <w:spacing w:line="400" w:lineRule="atLeast"/>
              <w:rPr>
                <w:rFonts w:ascii="仿宋" w:hAnsi="仿宋" w:eastAsia="仿宋"/>
                <w:sz w:val="24"/>
              </w:rPr>
            </w:pPr>
            <w:r>
              <w:rPr>
                <w:rFonts w:ascii="仿宋" w:hAnsi="仿宋" w:eastAsia="仿宋"/>
                <w:sz w:val="24"/>
              </w:rPr>
              <w:t>8、缓冲保护装置</w:t>
            </w:r>
          </w:p>
          <w:p>
            <w:pPr>
              <w:spacing w:line="400" w:lineRule="atLeast"/>
              <w:rPr>
                <w:rFonts w:ascii="仿宋" w:hAnsi="仿宋" w:eastAsia="仿宋"/>
                <w:sz w:val="24"/>
              </w:rPr>
            </w:pPr>
            <w:r>
              <w:rPr>
                <w:rFonts w:ascii="仿宋" w:hAnsi="仿宋" w:eastAsia="仿宋"/>
                <w:sz w:val="24"/>
              </w:rPr>
              <w:t>9、厅门机械连锁装置</w:t>
            </w:r>
          </w:p>
          <w:p>
            <w:pPr>
              <w:spacing w:line="400" w:lineRule="atLeast"/>
              <w:rPr>
                <w:rFonts w:ascii="仿宋" w:hAnsi="仿宋" w:eastAsia="仿宋"/>
                <w:sz w:val="24"/>
              </w:rPr>
            </w:pPr>
            <w:r>
              <w:rPr>
                <w:rFonts w:ascii="仿宋" w:hAnsi="仿宋" w:eastAsia="仿宋"/>
                <w:sz w:val="24"/>
              </w:rPr>
              <w:t>10、安全钳装置</w:t>
            </w:r>
          </w:p>
          <w:p>
            <w:pPr>
              <w:spacing w:line="400" w:lineRule="atLeast"/>
              <w:rPr>
                <w:rFonts w:ascii="仿宋" w:hAnsi="仿宋" w:eastAsia="仿宋"/>
                <w:sz w:val="24"/>
              </w:rPr>
            </w:pPr>
            <w:r>
              <w:rPr>
                <w:rFonts w:ascii="仿宋" w:hAnsi="仿宋" w:eastAsia="仿宋"/>
                <w:sz w:val="24"/>
              </w:rPr>
              <w:t>11、超载保护装置</w:t>
            </w:r>
          </w:p>
          <w:p>
            <w:pPr>
              <w:spacing w:line="400" w:lineRule="atLeast"/>
              <w:rPr>
                <w:rFonts w:ascii="仿宋" w:hAnsi="仿宋" w:eastAsia="仿宋"/>
                <w:sz w:val="24"/>
              </w:rPr>
            </w:pPr>
            <w:r>
              <w:rPr>
                <w:rFonts w:ascii="仿宋" w:hAnsi="仿宋" w:eastAsia="仿宋"/>
                <w:sz w:val="24"/>
              </w:rPr>
              <w:t>12、超速保护装置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712" w:type="dxa"/>
            <w:vAlign w:val="center"/>
          </w:tcPr>
          <w:p>
            <w:pPr>
              <w:spacing w:line="400" w:lineRule="atLeast"/>
              <w:rPr>
                <w:rFonts w:ascii="仿宋" w:hAnsi="仿宋" w:eastAsia="仿宋"/>
                <w:sz w:val="24"/>
              </w:rPr>
            </w:pPr>
            <w:r>
              <w:rPr>
                <w:rFonts w:hint="eastAsia" w:ascii="仿宋" w:hAnsi="仿宋" w:eastAsia="仿宋"/>
                <w:sz w:val="24"/>
              </w:rPr>
              <w:t>3</w:t>
            </w:r>
          </w:p>
        </w:tc>
        <w:tc>
          <w:tcPr>
            <w:tcW w:w="1747" w:type="dxa"/>
            <w:vAlign w:val="center"/>
          </w:tcPr>
          <w:p>
            <w:pPr>
              <w:spacing w:line="400" w:lineRule="atLeast"/>
              <w:rPr>
                <w:rFonts w:ascii="仿宋" w:hAnsi="仿宋" w:eastAsia="仿宋"/>
                <w:sz w:val="24"/>
              </w:rPr>
            </w:pPr>
            <w:r>
              <w:rPr>
                <w:rFonts w:hint="eastAsia" w:ascii="仿宋" w:hAnsi="仿宋" w:eastAsia="仿宋"/>
                <w:sz w:val="24"/>
              </w:rPr>
              <w:t>其它安全及维护功能</w:t>
            </w:r>
          </w:p>
        </w:tc>
        <w:tc>
          <w:tcPr>
            <w:tcW w:w="6115" w:type="dxa"/>
            <w:vAlign w:val="center"/>
          </w:tcPr>
          <w:p>
            <w:pPr>
              <w:numPr>
                <w:ilvl w:val="0"/>
                <w:numId w:val="3"/>
              </w:numPr>
              <w:adjustRightInd/>
              <w:spacing w:line="400" w:lineRule="atLeast"/>
              <w:rPr>
                <w:rFonts w:ascii="仿宋" w:hAnsi="仿宋" w:eastAsia="仿宋"/>
                <w:sz w:val="24"/>
              </w:rPr>
            </w:pPr>
            <w:r>
              <w:rPr>
                <w:rFonts w:ascii="仿宋" w:hAnsi="仿宋" w:eastAsia="仿宋"/>
                <w:sz w:val="24"/>
              </w:rPr>
              <w:t xml:space="preserve">轿厢照明电源开关及保险（机房）     </w:t>
            </w:r>
          </w:p>
          <w:p>
            <w:pPr>
              <w:spacing w:line="400" w:lineRule="atLeast"/>
              <w:rPr>
                <w:rFonts w:ascii="仿宋" w:hAnsi="仿宋" w:eastAsia="仿宋"/>
                <w:sz w:val="24"/>
              </w:rPr>
            </w:pPr>
            <w:r>
              <w:rPr>
                <w:rFonts w:ascii="仿宋" w:hAnsi="仿宋" w:eastAsia="仿宋"/>
                <w:sz w:val="24"/>
              </w:rPr>
              <w:t>2、保护接地</w:t>
            </w:r>
          </w:p>
          <w:p>
            <w:pPr>
              <w:spacing w:line="400" w:lineRule="atLeast"/>
              <w:rPr>
                <w:rFonts w:ascii="仿宋" w:hAnsi="仿宋" w:eastAsia="仿宋"/>
                <w:sz w:val="24"/>
              </w:rPr>
            </w:pPr>
            <w:r>
              <w:rPr>
                <w:rFonts w:ascii="仿宋" w:hAnsi="仿宋" w:eastAsia="仿宋"/>
                <w:sz w:val="24"/>
              </w:rPr>
              <w:t>3、机房</w:t>
            </w:r>
            <w:r>
              <w:rPr>
                <w:rFonts w:hint="eastAsia" w:ascii="仿宋" w:hAnsi="仿宋" w:eastAsia="仿宋"/>
                <w:sz w:val="24"/>
              </w:rPr>
              <w:t>紧急电动</w:t>
            </w:r>
            <w:r>
              <w:rPr>
                <w:rFonts w:ascii="仿宋" w:hAnsi="仿宋" w:eastAsia="仿宋"/>
                <w:sz w:val="24"/>
              </w:rPr>
              <w:t xml:space="preserve">运行                   </w:t>
            </w:r>
          </w:p>
          <w:p>
            <w:pPr>
              <w:spacing w:line="400" w:lineRule="atLeast"/>
              <w:rPr>
                <w:rFonts w:ascii="仿宋" w:hAnsi="仿宋" w:eastAsia="仿宋"/>
                <w:sz w:val="24"/>
              </w:rPr>
            </w:pPr>
            <w:r>
              <w:rPr>
                <w:rFonts w:ascii="仿宋" w:hAnsi="仿宋" w:eastAsia="仿宋"/>
                <w:sz w:val="24"/>
              </w:rPr>
              <w:t>4、维修用外开门三角钥匙</w:t>
            </w:r>
          </w:p>
          <w:p>
            <w:pPr>
              <w:spacing w:line="400" w:lineRule="atLeast"/>
              <w:rPr>
                <w:rFonts w:ascii="仿宋" w:hAnsi="仿宋" w:eastAsia="仿宋"/>
                <w:sz w:val="24"/>
              </w:rPr>
            </w:pPr>
            <w:r>
              <w:rPr>
                <w:rFonts w:ascii="仿宋" w:hAnsi="仿宋" w:eastAsia="仿宋"/>
                <w:sz w:val="24"/>
              </w:rPr>
              <w:t xml:space="preserve">5、轿厢急停开关（底坑）               </w:t>
            </w:r>
          </w:p>
          <w:p>
            <w:pPr>
              <w:spacing w:line="400" w:lineRule="atLeast"/>
              <w:rPr>
                <w:rFonts w:ascii="仿宋" w:hAnsi="仿宋" w:eastAsia="仿宋"/>
                <w:sz w:val="24"/>
              </w:rPr>
            </w:pPr>
            <w:r>
              <w:rPr>
                <w:rFonts w:ascii="仿宋" w:hAnsi="仿宋" w:eastAsia="仿宋"/>
                <w:sz w:val="24"/>
              </w:rPr>
              <w:t>6、轿厢急停开关（操纵箱）</w:t>
            </w:r>
          </w:p>
          <w:p>
            <w:pPr>
              <w:spacing w:line="400" w:lineRule="atLeast"/>
              <w:rPr>
                <w:rFonts w:ascii="仿宋" w:hAnsi="仿宋" w:eastAsia="仿宋"/>
                <w:sz w:val="24"/>
              </w:rPr>
            </w:pPr>
            <w:r>
              <w:rPr>
                <w:rFonts w:ascii="仿宋" w:hAnsi="仿宋" w:eastAsia="仿宋"/>
                <w:sz w:val="24"/>
              </w:rPr>
              <w:t xml:space="preserve">7、轿厢急停开关（轿顶）               </w:t>
            </w:r>
          </w:p>
          <w:p>
            <w:pPr>
              <w:spacing w:line="400" w:lineRule="atLeast"/>
              <w:rPr>
                <w:rFonts w:ascii="仿宋" w:hAnsi="仿宋" w:eastAsia="仿宋"/>
                <w:sz w:val="24"/>
              </w:rPr>
            </w:pPr>
            <w:r>
              <w:rPr>
                <w:rFonts w:ascii="仿宋" w:hAnsi="仿宋" w:eastAsia="仿宋"/>
                <w:sz w:val="24"/>
              </w:rPr>
              <w:t>8、限速器安全触点</w:t>
            </w:r>
          </w:p>
          <w:p>
            <w:pPr>
              <w:spacing w:line="400" w:lineRule="atLeast"/>
              <w:rPr>
                <w:rFonts w:ascii="仿宋" w:hAnsi="仿宋" w:eastAsia="仿宋"/>
                <w:sz w:val="24"/>
              </w:rPr>
            </w:pPr>
            <w:r>
              <w:rPr>
                <w:rFonts w:ascii="仿宋" w:hAnsi="仿宋" w:eastAsia="仿宋"/>
                <w:sz w:val="24"/>
              </w:rPr>
              <w:t xml:space="preserve">9、轿门触点                    </w:t>
            </w:r>
          </w:p>
          <w:p>
            <w:pPr>
              <w:spacing w:line="400" w:lineRule="atLeast"/>
              <w:rPr>
                <w:rFonts w:ascii="仿宋" w:hAnsi="仿宋" w:eastAsia="仿宋"/>
                <w:sz w:val="24"/>
              </w:rPr>
            </w:pPr>
            <w:r>
              <w:rPr>
                <w:rFonts w:ascii="仿宋" w:hAnsi="仿宋" w:eastAsia="仿宋"/>
                <w:sz w:val="24"/>
              </w:rPr>
              <w:t>10、安全钳安全触点</w:t>
            </w:r>
          </w:p>
          <w:p>
            <w:pPr>
              <w:spacing w:line="400" w:lineRule="atLeast"/>
              <w:rPr>
                <w:rFonts w:ascii="仿宋" w:hAnsi="仿宋" w:eastAsia="仿宋"/>
                <w:sz w:val="24"/>
              </w:rPr>
            </w:pPr>
            <w:r>
              <w:rPr>
                <w:rFonts w:ascii="仿宋" w:hAnsi="仿宋" w:eastAsia="仿宋"/>
                <w:sz w:val="24"/>
              </w:rPr>
              <w:t xml:space="preserve">11、轿厢限速器涨紧安全触点            </w:t>
            </w:r>
          </w:p>
          <w:p>
            <w:pPr>
              <w:spacing w:line="400" w:lineRule="atLeast"/>
              <w:rPr>
                <w:rFonts w:ascii="仿宋" w:hAnsi="仿宋" w:eastAsia="仿宋"/>
                <w:sz w:val="24"/>
              </w:rPr>
            </w:pPr>
            <w:r>
              <w:rPr>
                <w:rFonts w:ascii="仿宋" w:hAnsi="仿宋" w:eastAsia="仿宋"/>
                <w:sz w:val="24"/>
              </w:rPr>
              <w:t>12、强迫关门装置</w:t>
            </w:r>
          </w:p>
          <w:p>
            <w:pPr>
              <w:spacing w:line="400" w:lineRule="atLeast"/>
              <w:rPr>
                <w:rFonts w:ascii="仿宋" w:hAnsi="仿宋" w:eastAsia="仿宋"/>
                <w:sz w:val="24"/>
              </w:rPr>
            </w:pPr>
            <w:r>
              <w:rPr>
                <w:rFonts w:ascii="仿宋" w:hAnsi="仿宋" w:eastAsia="仿宋"/>
                <w:sz w:val="24"/>
              </w:rPr>
              <w:t>13、厅门电锁触点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712" w:type="dxa"/>
            <w:vAlign w:val="center"/>
          </w:tcPr>
          <w:p>
            <w:pPr>
              <w:spacing w:line="400" w:lineRule="atLeast"/>
              <w:rPr>
                <w:rFonts w:ascii="仿宋" w:hAnsi="仿宋" w:eastAsia="仿宋"/>
                <w:sz w:val="24"/>
              </w:rPr>
            </w:pPr>
            <w:r>
              <w:rPr>
                <w:rFonts w:hint="eastAsia" w:ascii="仿宋" w:hAnsi="仿宋" w:eastAsia="仿宋"/>
                <w:sz w:val="24"/>
              </w:rPr>
              <w:t>4</w:t>
            </w:r>
          </w:p>
        </w:tc>
        <w:tc>
          <w:tcPr>
            <w:tcW w:w="1747" w:type="dxa"/>
            <w:vAlign w:val="center"/>
          </w:tcPr>
          <w:p>
            <w:pPr>
              <w:spacing w:line="400" w:lineRule="atLeast"/>
              <w:rPr>
                <w:rFonts w:ascii="仿宋" w:hAnsi="仿宋" w:eastAsia="仿宋"/>
                <w:sz w:val="24"/>
              </w:rPr>
            </w:pPr>
            <w:r>
              <w:rPr>
                <w:rFonts w:hint="eastAsia" w:ascii="仿宋" w:hAnsi="仿宋" w:eastAsia="仿宋"/>
                <w:sz w:val="24"/>
              </w:rPr>
              <w:t>乘客舒适</w:t>
            </w:r>
          </w:p>
          <w:p>
            <w:pPr>
              <w:spacing w:line="400" w:lineRule="atLeast"/>
              <w:rPr>
                <w:rFonts w:ascii="仿宋" w:hAnsi="仿宋" w:eastAsia="仿宋"/>
                <w:sz w:val="24"/>
              </w:rPr>
            </w:pPr>
            <w:r>
              <w:rPr>
                <w:rFonts w:hint="eastAsia" w:ascii="仿宋" w:hAnsi="仿宋" w:eastAsia="仿宋"/>
                <w:sz w:val="24"/>
              </w:rPr>
              <w:t>功能</w:t>
            </w:r>
          </w:p>
        </w:tc>
        <w:tc>
          <w:tcPr>
            <w:tcW w:w="6115" w:type="dxa"/>
            <w:vAlign w:val="center"/>
          </w:tcPr>
          <w:p>
            <w:pPr>
              <w:numPr>
                <w:ilvl w:val="0"/>
                <w:numId w:val="4"/>
              </w:numPr>
              <w:adjustRightInd/>
              <w:spacing w:line="400" w:lineRule="atLeast"/>
              <w:rPr>
                <w:rFonts w:ascii="仿宋" w:hAnsi="仿宋" w:eastAsia="仿宋"/>
                <w:sz w:val="24"/>
              </w:rPr>
            </w:pPr>
            <w:r>
              <w:rPr>
                <w:rFonts w:ascii="仿宋" w:hAnsi="仿宋" w:eastAsia="仿宋"/>
                <w:sz w:val="24"/>
              </w:rPr>
              <w:t xml:space="preserve">关门按钮                           </w:t>
            </w:r>
          </w:p>
          <w:p>
            <w:pPr>
              <w:spacing w:line="400" w:lineRule="atLeast"/>
              <w:rPr>
                <w:rFonts w:ascii="仿宋" w:hAnsi="仿宋" w:eastAsia="仿宋"/>
                <w:sz w:val="24"/>
              </w:rPr>
            </w:pPr>
            <w:r>
              <w:rPr>
                <w:rFonts w:ascii="仿宋" w:hAnsi="仿宋" w:eastAsia="仿宋"/>
                <w:sz w:val="24"/>
              </w:rPr>
              <w:t>2、开门按钮</w:t>
            </w:r>
          </w:p>
          <w:p>
            <w:pPr>
              <w:spacing w:line="400" w:lineRule="atLeast"/>
              <w:rPr>
                <w:rFonts w:ascii="仿宋" w:hAnsi="仿宋" w:eastAsia="仿宋"/>
                <w:sz w:val="24"/>
              </w:rPr>
            </w:pPr>
            <w:r>
              <w:rPr>
                <w:rFonts w:ascii="仿宋" w:hAnsi="仿宋" w:eastAsia="仿宋"/>
                <w:sz w:val="24"/>
              </w:rPr>
              <w:t xml:space="preserve">3、轿厢内照明（自动控制）            </w:t>
            </w:r>
          </w:p>
          <w:p>
            <w:pPr>
              <w:spacing w:line="400" w:lineRule="atLeast"/>
              <w:rPr>
                <w:rFonts w:ascii="仿宋" w:hAnsi="仿宋" w:eastAsia="仿宋"/>
                <w:sz w:val="24"/>
              </w:rPr>
            </w:pPr>
            <w:r>
              <w:rPr>
                <w:rFonts w:hint="eastAsia" w:ascii="仿宋" w:hAnsi="仿宋" w:eastAsia="仿宋"/>
                <w:sz w:val="24"/>
              </w:rPr>
              <w:t>4</w:t>
            </w:r>
            <w:r>
              <w:rPr>
                <w:rFonts w:ascii="仿宋" w:hAnsi="仿宋" w:eastAsia="仿宋"/>
                <w:sz w:val="24"/>
              </w:rPr>
              <w:t xml:space="preserve">、轿厢内位置指示                     </w:t>
            </w:r>
          </w:p>
          <w:p>
            <w:pPr>
              <w:spacing w:line="400" w:lineRule="atLeast"/>
              <w:rPr>
                <w:rFonts w:ascii="仿宋" w:hAnsi="仿宋" w:eastAsia="仿宋"/>
                <w:sz w:val="24"/>
              </w:rPr>
            </w:pPr>
            <w:r>
              <w:rPr>
                <w:rFonts w:hint="eastAsia" w:ascii="仿宋" w:hAnsi="仿宋" w:eastAsia="仿宋"/>
                <w:sz w:val="24"/>
              </w:rPr>
              <w:t>5</w:t>
            </w:r>
            <w:r>
              <w:rPr>
                <w:rFonts w:ascii="仿宋" w:hAnsi="仿宋" w:eastAsia="仿宋"/>
                <w:sz w:val="24"/>
              </w:rPr>
              <w:t>、轿厢内运行方向指示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712" w:type="dxa"/>
            <w:vAlign w:val="center"/>
          </w:tcPr>
          <w:p>
            <w:pPr>
              <w:spacing w:line="400" w:lineRule="atLeast"/>
              <w:rPr>
                <w:rFonts w:ascii="仿宋" w:hAnsi="仿宋" w:eastAsia="仿宋"/>
                <w:sz w:val="24"/>
              </w:rPr>
            </w:pPr>
            <w:r>
              <w:rPr>
                <w:rFonts w:hint="eastAsia" w:ascii="仿宋" w:hAnsi="仿宋" w:eastAsia="仿宋"/>
                <w:sz w:val="24"/>
              </w:rPr>
              <w:t>5</w:t>
            </w:r>
          </w:p>
        </w:tc>
        <w:tc>
          <w:tcPr>
            <w:tcW w:w="1747" w:type="dxa"/>
            <w:vAlign w:val="center"/>
          </w:tcPr>
          <w:p>
            <w:pPr>
              <w:spacing w:line="400" w:lineRule="atLeast"/>
              <w:rPr>
                <w:rFonts w:ascii="仿宋" w:hAnsi="仿宋" w:eastAsia="仿宋"/>
                <w:sz w:val="24"/>
              </w:rPr>
            </w:pPr>
            <w:r>
              <w:rPr>
                <w:rFonts w:hint="eastAsia" w:ascii="仿宋" w:hAnsi="仿宋" w:eastAsia="仿宋"/>
                <w:sz w:val="24"/>
              </w:rPr>
              <w:t>信息功能</w:t>
            </w:r>
          </w:p>
        </w:tc>
        <w:tc>
          <w:tcPr>
            <w:tcW w:w="6115" w:type="dxa"/>
            <w:vAlign w:val="center"/>
          </w:tcPr>
          <w:p>
            <w:pPr>
              <w:numPr>
                <w:ilvl w:val="0"/>
                <w:numId w:val="5"/>
              </w:numPr>
              <w:adjustRightInd/>
              <w:spacing w:line="400" w:lineRule="atLeast"/>
              <w:rPr>
                <w:rFonts w:ascii="仿宋" w:hAnsi="仿宋" w:eastAsia="仿宋"/>
                <w:sz w:val="24"/>
              </w:rPr>
            </w:pPr>
            <w:r>
              <w:rPr>
                <w:rFonts w:ascii="仿宋" w:hAnsi="仿宋" w:eastAsia="仿宋"/>
                <w:sz w:val="24"/>
              </w:rPr>
              <w:t xml:space="preserve">外呼登记显示                       </w:t>
            </w:r>
          </w:p>
          <w:p>
            <w:pPr>
              <w:spacing w:line="400" w:lineRule="atLeast"/>
              <w:rPr>
                <w:rFonts w:ascii="仿宋" w:hAnsi="仿宋" w:eastAsia="仿宋"/>
                <w:sz w:val="24"/>
              </w:rPr>
            </w:pPr>
            <w:r>
              <w:rPr>
                <w:rFonts w:ascii="仿宋" w:hAnsi="仿宋" w:eastAsia="仿宋"/>
                <w:sz w:val="24"/>
              </w:rPr>
              <w:t>2、轿厢外位置指示</w:t>
            </w:r>
          </w:p>
          <w:p>
            <w:pPr>
              <w:spacing w:line="400" w:lineRule="atLeast"/>
              <w:rPr>
                <w:rFonts w:ascii="仿宋" w:hAnsi="仿宋" w:eastAsia="仿宋"/>
                <w:sz w:val="24"/>
              </w:rPr>
            </w:pPr>
            <w:r>
              <w:rPr>
                <w:rFonts w:ascii="仿宋" w:hAnsi="仿宋" w:eastAsia="仿宋"/>
                <w:sz w:val="24"/>
              </w:rPr>
              <w:t xml:space="preserve">3、运行方向显示                       </w:t>
            </w:r>
          </w:p>
          <w:p>
            <w:pPr>
              <w:spacing w:line="400" w:lineRule="atLeast"/>
              <w:rPr>
                <w:rFonts w:ascii="仿宋" w:hAnsi="仿宋" w:eastAsia="仿宋"/>
                <w:sz w:val="24"/>
              </w:rPr>
            </w:pPr>
            <w:r>
              <w:rPr>
                <w:rFonts w:ascii="仿宋" w:hAnsi="仿宋" w:eastAsia="仿宋"/>
                <w:sz w:val="24"/>
              </w:rPr>
              <w:t>4、内呼登记显示</w:t>
            </w:r>
          </w:p>
          <w:p>
            <w:pPr>
              <w:spacing w:line="400" w:lineRule="atLeast"/>
              <w:rPr>
                <w:rFonts w:ascii="仿宋" w:hAnsi="仿宋" w:eastAsia="仿宋"/>
                <w:sz w:val="24"/>
              </w:rPr>
            </w:pPr>
            <w:r>
              <w:rPr>
                <w:rFonts w:ascii="仿宋" w:hAnsi="仿宋" w:eastAsia="仿宋"/>
                <w:sz w:val="24"/>
              </w:rPr>
              <w:t xml:space="preserve">5、机房轿厢位置指示                   </w:t>
            </w:r>
          </w:p>
          <w:p>
            <w:pPr>
              <w:spacing w:line="400" w:lineRule="atLeast"/>
              <w:rPr>
                <w:rFonts w:ascii="仿宋" w:hAnsi="仿宋" w:eastAsia="仿宋"/>
                <w:sz w:val="24"/>
              </w:rPr>
            </w:pPr>
            <w:r>
              <w:rPr>
                <w:rFonts w:ascii="仿宋" w:hAnsi="仿宋" w:eastAsia="仿宋"/>
                <w:sz w:val="24"/>
              </w:rPr>
              <w:t>6、运行计数器</w:t>
            </w:r>
          </w:p>
          <w:p>
            <w:pPr>
              <w:spacing w:line="400" w:lineRule="atLeast"/>
              <w:rPr>
                <w:rFonts w:ascii="仿宋" w:hAnsi="仿宋" w:eastAsia="仿宋"/>
                <w:sz w:val="24"/>
              </w:rPr>
            </w:pPr>
            <w:r>
              <w:rPr>
                <w:rFonts w:ascii="仿宋" w:hAnsi="仿宋" w:eastAsia="仿宋"/>
                <w:sz w:val="24"/>
              </w:rPr>
              <w:t>7、机房轿厢方向指示</w:t>
            </w:r>
          </w:p>
        </w:tc>
      </w:tr>
    </w:tbl>
    <w:p>
      <w:pPr>
        <w:spacing w:line="400" w:lineRule="atLeast"/>
        <w:rPr>
          <w:rFonts w:ascii="仿宋" w:hAnsi="仿宋" w:eastAsia="仿宋"/>
          <w:b/>
          <w:bCs/>
          <w:sz w:val="24"/>
        </w:rPr>
      </w:pPr>
    </w:p>
    <w:p>
      <w:pPr>
        <w:spacing w:line="420" w:lineRule="exact"/>
        <w:rPr>
          <w:rFonts w:ascii="仿宋" w:hAnsi="仿宋" w:eastAsia="仿宋"/>
          <w:b/>
          <w:bCs/>
          <w:sz w:val="24"/>
        </w:rPr>
      </w:pPr>
      <w:r>
        <w:rPr>
          <w:rFonts w:hint="eastAsia" w:ascii="仿宋" w:hAnsi="仿宋" w:eastAsia="仿宋"/>
          <w:b/>
          <w:bCs/>
          <w:sz w:val="24"/>
        </w:rPr>
        <w:t>五、项目实施要求：</w:t>
      </w:r>
    </w:p>
    <w:p>
      <w:pPr>
        <w:snapToGrid w:val="0"/>
        <w:spacing w:line="420" w:lineRule="exact"/>
        <w:ind w:firstLine="354" w:firstLineChars="147"/>
        <w:rPr>
          <w:rFonts w:ascii="仿宋" w:hAnsi="仿宋" w:eastAsia="仿宋" w:cs="宋体"/>
          <w:b/>
          <w:sz w:val="24"/>
        </w:rPr>
      </w:pPr>
      <w:r>
        <w:rPr>
          <w:rFonts w:hint="eastAsia" w:ascii="仿宋" w:hAnsi="仿宋" w:eastAsia="仿宋" w:cs="宋体"/>
          <w:b/>
          <w:sz w:val="24"/>
        </w:rPr>
        <w:t>1、交货期、交货方式、交货地点及供货要求</w:t>
      </w:r>
    </w:p>
    <w:p>
      <w:pPr>
        <w:snapToGrid w:val="0"/>
        <w:spacing w:line="420" w:lineRule="exact"/>
        <w:ind w:firstLine="352" w:firstLineChars="147"/>
        <w:rPr>
          <w:rFonts w:ascii="仿宋" w:hAnsi="仿宋" w:eastAsia="仿宋" w:cs="宋体"/>
          <w:bCs/>
          <w:sz w:val="24"/>
        </w:rPr>
      </w:pPr>
      <w:r>
        <w:rPr>
          <w:rFonts w:hint="eastAsia" w:ascii="仿宋" w:hAnsi="仿宋" w:eastAsia="仿宋"/>
          <w:sz w:val="24"/>
        </w:rPr>
        <w:t>▲</w:t>
      </w:r>
      <w:r>
        <w:rPr>
          <w:rFonts w:hint="eastAsia" w:ascii="仿宋" w:hAnsi="仿宋" w:eastAsia="仿宋" w:cs="宋体"/>
          <w:bCs/>
          <w:sz w:val="24"/>
        </w:rPr>
        <w:t>1）交货期：中标单位与采购人签订合同后45日内送货并安装。</w:t>
      </w:r>
    </w:p>
    <w:p>
      <w:pPr>
        <w:snapToGrid w:val="0"/>
        <w:spacing w:line="420" w:lineRule="exact"/>
        <w:ind w:firstLine="352" w:firstLineChars="147"/>
        <w:rPr>
          <w:rFonts w:ascii="仿宋" w:hAnsi="仿宋" w:eastAsia="仿宋" w:cs="宋体"/>
          <w:bCs/>
          <w:sz w:val="24"/>
        </w:rPr>
      </w:pPr>
      <w:r>
        <w:rPr>
          <w:rFonts w:hint="eastAsia" w:ascii="仿宋" w:hAnsi="仿宋" w:eastAsia="仿宋" w:cs="宋体"/>
          <w:bCs/>
          <w:sz w:val="24"/>
        </w:rPr>
        <w:t>2）交货方式：由中标单位负责运输至指定地点现场交货，并安装调试完毕。安装调试完毕交付采购人前发生的风险均由乙方负责。</w:t>
      </w:r>
    </w:p>
    <w:p>
      <w:pPr>
        <w:snapToGrid w:val="0"/>
        <w:spacing w:line="420" w:lineRule="exact"/>
        <w:ind w:firstLine="352" w:firstLineChars="147"/>
        <w:rPr>
          <w:rFonts w:ascii="仿宋" w:hAnsi="仿宋" w:eastAsia="仿宋" w:cs="宋体"/>
          <w:bCs/>
          <w:sz w:val="24"/>
        </w:rPr>
      </w:pPr>
      <w:r>
        <w:rPr>
          <w:rFonts w:hint="eastAsia" w:ascii="仿宋" w:hAnsi="仿宋" w:eastAsia="仿宋" w:cs="宋体"/>
          <w:bCs/>
          <w:sz w:val="24"/>
        </w:rPr>
        <w:t>3）交货地点：余杭区仓前街道运溪路636号（</w:t>
      </w:r>
      <w:r>
        <w:rPr>
          <w:rFonts w:hint="eastAsia" w:ascii="仿宋" w:hAnsi="仿宋" w:eastAsia="仿宋"/>
          <w:kern w:val="0"/>
          <w:sz w:val="24"/>
        </w:rPr>
        <w:t>永乐综合楼）</w:t>
      </w:r>
      <w:r>
        <w:rPr>
          <w:rFonts w:hint="eastAsia" w:ascii="仿宋" w:hAnsi="仿宋" w:eastAsia="仿宋" w:cs="宋体"/>
          <w:bCs/>
          <w:sz w:val="24"/>
        </w:rPr>
        <w:t>。</w:t>
      </w:r>
    </w:p>
    <w:p>
      <w:pPr>
        <w:snapToGrid w:val="0"/>
        <w:spacing w:line="420" w:lineRule="exact"/>
        <w:ind w:firstLine="352" w:firstLineChars="147"/>
        <w:rPr>
          <w:rFonts w:ascii="仿宋" w:hAnsi="仿宋" w:eastAsia="仿宋" w:cs="宋体"/>
          <w:bCs/>
          <w:sz w:val="24"/>
        </w:rPr>
      </w:pPr>
      <w:r>
        <w:rPr>
          <w:rFonts w:hint="eastAsia" w:ascii="仿宋" w:hAnsi="仿宋" w:eastAsia="仿宋" w:cs="宋体"/>
          <w:kern w:val="0"/>
          <w:sz w:val="24"/>
        </w:rPr>
        <w:t>4）供货要求：</w:t>
      </w:r>
      <w:r>
        <w:rPr>
          <w:rFonts w:hint="eastAsia" w:ascii="仿宋" w:hAnsi="仿宋" w:eastAsia="仿宋" w:cs="宋体"/>
          <w:bCs/>
          <w:sz w:val="24"/>
        </w:rPr>
        <w:t>中标单位</w:t>
      </w:r>
      <w:r>
        <w:rPr>
          <w:rFonts w:hint="eastAsia" w:ascii="仿宋" w:hAnsi="仿宋" w:eastAsia="仿宋" w:cs="宋体"/>
          <w:kern w:val="0"/>
          <w:sz w:val="24"/>
        </w:rPr>
        <w:t>所供的货物必须为全新的，符合国家标准的合格产品。凡需国家强制保证或认可的产品、需提供相应的</w:t>
      </w:r>
      <w:r>
        <w:rPr>
          <w:rFonts w:hint="eastAsia" w:ascii="仿宋" w:hAnsi="仿宋" w:eastAsia="仿宋" w:cs="宋体"/>
          <w:sz w:val="24"/>
        </w:rPr>
        <w:t>证书和认可的标志。</w:t>
      </w:r>
      <w:r>
        <w:rPr>
          <w:rFonts w:hint="eastAsia" w:ascii="仿宋" w:hAnsi="仿宋" w:eastAsia="仿宋" w:cs="宋体"/>
          <w:bCs/>
          <w:sz w:val="24"/>
        </w:rPr>
        <w:t>所供货物不会侵犯任何第三方知识产权。</w:t>
      </w:r>
    </w:p>
    <w:p>
      <w:pPr>
        <w:snapToGrid w:val="0"/>
        <w:spacing w:line="420" w:lineRule="exact"/>
        <w:ind w:firstLine="352" w:firstLineChars="147"/>
        <w:rPr>
          <w:rFonts w:ascii="仿宋" w:hAnsi="仿宋" w:eastAsia="仿宋" w:cs="宋体"/>
          <w:bCs/>
          <w:sz w:val="24"/>
        </w:rPr>
      </w:pPr>
      <w:r>
        <w:rPr>
          <w:rFonts w:hint="eastAsia" w:ascii="仿宋" w:hAnsi="仿宋" w:eastAsia="仿宋" w:cs="宋体"/>
          <w:bCs/>
          <w:sz w:val="24"/>
        </w:rPr>
        <w:t>5）中标单位应先派有经验的技术人员对安装现场进行实地勘察，对各种设备采购、制造、运输（到现场安装）、安装进行总承包，一切费用均由中标单位负责。</w:t>
      </w:r>
    </w:p>
    <w:p>
      <w:pPr>
        <w:snapToGrid w:val="0"/>
        <w:spacing w:line="420" w:lineRule="exact"/>
        <w:ind w:firstLine="352" w:firstLineChars="147"/>
        <w:rPr>
          <w:rFonts w:ascii="仿宋" w:hAnsi="仿宋" w:eastAsia="仿宋" w:cs="宋体"/>
          <w:bCs/>
          <w:sz w:val="24"/>
        </w:rPr>
      </w:pPr>
      <w:r>
        <w:rPr>
          <w:rFonts w:hint="eastAsia" w:ascii="仿宋" w:hAnsi="仿宋" w:eastAsia="仿宋" w:cs="宋体"/>
          <w:bCs/>
          <w:sz w:val="24"/>
        </w:rPr>
        <w:t>6）中标单位在设备安装、调试时不得损坏墙体、门窗等，如有损坏要予以赔偿。</w:t>
      </w:r>
    </w:p>
    <w:p>
      <w:pPr>
        <w:snapToGrid w:val="0"/>
        <w:spacing w:line="420" w:lineRule="exact"/>
        <w:rPr>
          <w:rFonts w:ascii="仿宋" w:hAnsi="仿宋" w:eastAsia="仿宋" w:cs="宋体"/>
          <w:b/>
          <w:sz w:val="24"/>
        </w:rPr>
      </w:pPr>
      <w:r>
        <w:rPr>
          <w:rFonts w:hint="eastAsia" w:ascii="仿宋" w:hAnsi="仿宋" w:eastAsia="仿宋" w:cs="宋体"/>
          <w:sz w:val="24"/>
        </w:rPr>
        <w:t xml:space="preserve">   7）培训要求：安装调试后，</w:t>
      </w:r>
      <w:r>
        <w:rPr>
          <w:rFonts w:hint="eastAsia" w:ascii="仿宋" w:hAnsi="仿宋" w:eastAsia="仿宋" w:cs="宋体"/>
          <w:bCs/>
          <w:sz w:val="24"/>
        </w:rPr>
        <w:t>中标单位</w:t>
      </w:r>
      <w:r>
        <w:rPr>
          <w:rFonts w:hint="eastAsia" w:ascii="仿宋" w:hAnsi="仿宋" w:eastAsia="仿宋" w:cs="宋体"/>
          <w:sz w:val="24"/>
        </w:rPr>
        <w:t>须向使用方人员做好所供产品日常保养、使用、管理的现场实地培训，直至会熟练使用。</w:t>
      </w:r>
    </w:p>
    <w:p>
      <w:pPr>
        <w:pStyle w:val="38"/>
        <w:spacing w:line="420" w:lineRule="exact"/>
        <w:rPr>
          <w:rFonts w:ascii="仿宋" w:hAnsi="仿宋" w:eastAsia="仿宋" w:cs="宋体"/>
          <w:b/>
          <w:bCs/>
          <w:sz w:val="24"/>
          <w:szCs w:val="24"/>
        </w:rPr>
      </w:pPr>
      <w:r>
        <w:rPr>
          <w:rFonts w:hint="eastAsia" w:ascii="仿宋" w:hAnsi="仿宋" w:eastAsia="仿宋" w:cs="宋体"/>
          <w:b/>
          <w:bCs/>
          <w:sz w:val="24"/>
          <w:szCs w:val="24"/>
        </w:rPr>
        <w:t xml:space="preserve">    2、售后服务要求：</w:t>
      </w:r>
    </w:p>
    <w:p>
      <w:pPr>
        <w:pStyle w:val="38"/>
        <w:spacing w:line="420" w:lineRule="exact"/>
        <w:ind w:firstLine="480" w:firstLineChars="200"/>
        <w:rPr>
          <w:rFonts w:ascii="仿宋" w:hAnsi="仿宋" w:eastAsia="仿宋" w:cs="宋体"/>
          <w:sz w:val="24"/>
          <w:szCs w:val="24"/>
        </w:rPr>
      </w:pPr>
      <w:r>
        <w:rPr>
          <w:rFonts w:hint="eastAsia" w:ascii="仿宋" w:hAnsi="仿宋" w:eastAsia="仿宋" w:cs="宋体"/>
          <w:sz w:val="24"/>
          <w:szCs w:val="24"/>
        </w:rPr>
        <w:t>1）中标单位须提供经调试、试运行、验收合格后至少2年的免费质保期(投标人可根据自身实力作出更长时间的质保承诺)。在此期间，</w:t>
      </w:r>
      <w:r>
        <w:rPr>
          <w:rFonts w:hint="eastAsia" w:ascii="仿宋" w:hAnsi="仿宋" w:eastAsia="仿宋" w:cs="宋体"/>
          <w:bCs/>
          <w:sz w:val="24"/>
          <w:szCs w:val="24"/>
        </w:rPr>
        <w:t>中标单位</w:t>
      </w:r>
      <w:r>
        <w:rPr>
          <w:rFonts w:hint="eastAsia" w:ascii="仿宋" w:hAnsi="仿宋" w:eastAsia="仿宋" w:cs="宋体"/>
          <w:sz w:val="24"/>
          <w:szCs w:val="24"/>
        </w:rPr>
        <w:t>应免费处理因质量发生的故障，并进行正常保养。</w:t>
      </w:r>
      <w:r>
        <w:rPr>
          <w:rFonts w:hint="eastAsia" w:ascii="仿宋" w:hAnsi="仿宋" w:eastAsia="仿宋" w:cs="宋体"/>
          <w:bCs/>
          <w:sz w:val="24"/>
          <w:szCs w:val="24"/>
        </w:rPr>
        <w:t>中标单位</w:t>
      </w:r>
      <w:r>
        <w:rPr>
          <w:rFonts w:hint="eastAsia" w:ascii="仿宋" w:hAnsi="仿宋" w:eastAsia="仿宋" w:cs="宋体"/>
          <w:sz w:val="24"/>
          <w:szCs w:val="24"/>
        </w:rPr>
        <w:t>应提供在质保期满后不少于5年的维修和保养服务费用，分别按大包和小包进行报价（格式自拟）。</w:t>
      </w:r>
      <w:r>
        <w:rPr>
          <w:rFonts w:hint="eastAsia" w:ascii="仿宋" w:hAnsi="仿宋" w:eastAsia="仿宋" w:cs="宋体"/>
          <w:bCs/>
          <w:sz w:val="24"/>
          <w:szCs w:val="24"/>
        </w:rPr>
        <w:t>中标单位</w:t>
      </w:r>
      <w:r>
        <w:rPr>
          <w:rFonts w:hint="eastAsia" w:ascii="仿宋" w:hAnsi="仿宋" w:eastAsia="仿宋" w:cs="宋体"/>
          <w:sz w:val="24"/>
          <w:szCs w:val="24"/>
        </w:rPr>
        <w:t>必须有可靠的固定的维修服务点，能提供正常的技术、备品备件服务。</w:t>
      </w:r>
    </w:p>
    <w:p>
      <w:pPr>
        <w:spacing w:line="420" w:lineRule="exact"/>
        <w:ind w:firstLine="480" w:firstLineChars="200"/>
        <w:rPr>
          <w:rFonts w:ascii="仿宋" w:hAnsi="仿宋" w:eastAsia="仿宋" w:cs="宋体"/>
          <w:bCs/>
          <w:sz w:val="24"/>
        </w:rPr>
      </w:pPr>
      <w:r>
        <w:rPr>
          <w:rFonts w:hint="eastAsia" w:ascii="仿宋" w:hAnsi="仿宋" w:eastAsia="仿宋" w:cs="宋体"/>
          <w:bCs/>
          <w:sz w:val="24"/>
        </w:rPr>
        <w:t>2）质保期内的维修费用（包括配件）全部由供货方负责；</w:t>
      </w:r>
    </w:p>
    <w:p>
      <w:pPr>
        <w:spacing w:line="420" w:lineRule="exact"/>
        <w:ind w:left="60" w:right="60" w:firstLine="435"/>
        <w:rPr>
          <w:rFonts w:ascii="仿宋" w:hAnsi="仿宋" w:eastAsia="仿宋" w:cs="宋体"/>
          <w:bCs/>
          <w:sz w:val="24"/>
        </w:rPr>
      </w:pPr>
      <w:r>
        <w:rPr>
          <w:rFonts w:hint="eastAsia" w:ascii="仿宋" w:hAnsi="仿宋" w:eastAsia="仿宋" w:cs="宋体"/>
          <w:bCs/>
          <w:sz w:val="24"/>
        </w:rPr>
        <w:t>3）技术支持要求：质保期内出现问题，1小时内响应，2小时内到达现场，24小时内解决问题，现场解决不了的采取补救措施，以保证使用方的正常工作需求。中标单位有其它服务承诺的，一并履行。</w:t>
      </w:r>
    </w:p>
    <w:p>
      <w:pPr>
        <w:snapToGrid w:val="0"/>
        <w:spacing w:line="420" w:lineRule="exact"/>
        <w:rPr>
          <w:rFonts w:ascii="仿宋" w:hAnsi="仿宋" w:eastAsia="仿宋" w:cs="宋体"/>
          <w:b/>
          <w:sz w:val="24"/>
        </w:rPr>
      </w:pPr>
      <w:r>
        <w:rPr>
          <w:rFonts w:hint="eastAsia" w:ascii="仿宋" w:hAnsi="仿宋" w:eastAsia="仿宋" w:cs="宋体"/>
          <w:b/>
          <w:sz w:val="24"/>
        </w:rPr>
        <w:t xml:space="preserve">    3、履约保证金：</w:t>
      </w:r>
    </w:p>
    <w:p>
      <w:pPr>
        <w:pStyle w:val="38"/>
        <w:spacing w:line="420" w:lineRule="exact"/>
        <w:ind w:firstLine="480" w:firstLineChars="200"/>
        <w:rPr>
          <w:rFonts w:ascii="仿宋" w:hAnsi="仿宋" w:eastAsia="仿宋" w:cs="宋体"/>
          <w:sz w:val="24"/>
          <w:szCs w:val="24"/>
        </w:rPr>
      </w:pPr>
      <w:r>
        <w:rPr>
          <w:rFonts w:hint="eastAsia" w:ascii="仿宋" w:hAnsi="仿宋" w:eastAsia="仿宋" w:cs="宋体"/>
          <w:bCs/>
          <w:sz w:val="24"/>
          <w:szCs w:val="24"/>
        </w:rPr>
        <w:t>中标单位在签订合同前3日内向采购人缴纳合同价2.5%的履约保证金，</w:t>
      </w:r>
      <w:r>
        <w:rPr>
          <w:rFonts w:hint="eastAsia" w:ascii="仿宋" w:hAnsi="仿宋" w:eastAsia="仿宋" w:cs="宋体"/>
          <w:b/>
          <w:sz w:val="24"/>
          <w:szCs w:val="24"/>
        </w:rPr>
        <w:t>中标单位根据合同规定将货物交付、安装调试完毕</w:t>
      </w:r>
      <w:r>
        <w:rPr>
          <w:rFonts w:hint="eastAsia" w:ascii="仿宋" w:hAnsi="仿宋" w:eastAsia="仿宋" w:cs="宋体"/>
          <w:bCs/>
          <w:sz w:val="24"/>
          <w:szCs w:val="24"/>
        </w:rPr>
        <w:t>后10日内无息返还履约保证金。</w:t>
      </w:r>
    </w:p>
    <w:p>
      <w:pPr>
        <w:pStyle w:val="38"/>
        <w:spacing w:line="420" w:lineRule="exact"/>
        <w:ind w:firstLine="482" w:firstLineChars="200"/>
        <w:rPr>
          <w:rFonts w:ascii="仿宋" w:hAnsi="仿宋" w:eastAsia="仿宋" w:cs="宋体"/>
          <w:b/>
          <w:bCs/>
          <w:sz w:val="24"/>
          <w:szCs w:val="24"/>
        </w:rPr>
      </w:pPr>
      <w:r>
        <w:rPr>
          <w:rFonts w:hint="eastAsia" w:ascii="仿宋" w:hAnsi="仿宋" w:eastAsia="仿宋" w:cs="宋体"/>
          <w:b/>
          <w:bCs/>
          <w:sz w:val="24"/>
          <w:szCs w:val="24"/>
        </w:rPr>
        <w:t>4、</w:t>
      </w:r>
      <w:r>
        <w:rPr>
          <w:rFonts w:ascii="仿宋" w:hAnsi="仿宋" w:eastAsia="仿宋" w:cs="宋体"/>
          <w:b/>
          <w:bCs/>
          <w:sz w:val="24"/>
          <w:szCs w:val="24"/>
        </w:rPr>
        <w:t>验收要求</w:t>
      </w:r>
      <w:r>
        <w:rPr>
          <w:rFonts w:hint="eastAsia" w:ascii="仿宋" w:hAnsi="仿宋" w:eastAsia="仿宋" w:cs="宋体"/>
          <w:b/>
          <w:bCs/>
          <w:sz w:val="24"/>
          <w:szCs w:val="24"/>
        </w:rPr>
        <w:t>：</w:t>
      </w:r>
    </w:p>
    <w:p>
      <w:pPr>
        <w:pStyle w:val="38"/>
        <w:spacing w:line="420" w:lineRule="exact"/>
        <w:rPr>
          <w:rFonts w:ascii="仿宋" w:hAnsi="仿宋" w:eastAsia="仿宋" w:cs="宋体"/>
          <w:bCs/>
          <w:sz w:val="24"/>
          <w:szCs w:val="24"/>
        </w:rPr>
      </w:pPr>
      <w:r>
        <w:rPr>
          <w:rFonts w:hint="eastAsia" w:ascii="仿宋" w:hAnsi="仿宋" w:eastAsia="仿宋" w:cs="宋体"/>
          <w:bCs/>
          <w:sz w:val="24"/>
          <w:szCs w:val="24"/>
        </w:rPr>
        <w:t>1)中标单位根据合同规定将货物交付、安装调试完毕，采购人根据余财采【2020】14号文件精神，组织验收。</w:t>
      </w:r>
    </w:p>
    <w:p>
      <w:pPr>
        <w:pStyle w:val="38"/>
        <w:spacing w:line="420" w:lineRule="exact"/>
        <w:rPr>
          <w:rFonts w:ascii="仿宋" w:hAnsi="仿宋" w:eastAsia="仿宋" w:cs="宋体"/>
          <w:sz w:val="24"/>
          <w:szCs w:val="24"/>
        </w:rPr>
      </w:pPr>
      <w:r>
        <w:rPr>
          <w:rFonts w:hint="eastAsia" w:ascii="仿宋" w:hAnsi="仿宋" w:eastAsia="仿宋" w:cs="宋体"/>
          <w:bCs/>
          <w:sz w:val="24"/>
          <w:szCs w:val="24"/>
        </w:rPr>
        <w:t xml:space="preserve">2)经验收不合格且无法整改的，不付款不退货，所产生的所有损失由乙方承担。  </w:t>
      </w:r>
      <w:r>
        <w:rPr>
          <w:rFonts w:hint="eastAsia" w:ascii="仿宋" w:hAnsi="仿宋" w:eastAsia="仿宋" w:cs="宋体"/>
          <w:sz w:val="24"/>
          <w:szCs w:val="24"/>
        </w:rPr>
        <w:t xml:space="preserve"> </w:t>
      </w:r>
      <w:r>
        <w:rPr>
          <w:rFonts w:hint="eastAsia" w:ascii="仿宋" w:hAnsi="仿宋" w:eastAsia="仿宋" w:cs="宋体"/>
          <w:bCs/>
          <w:sz w:val="24"/>
          <w:szCs w:val="24"/>
        </w:rPr>
        <w:t>3)设备安装调试到位，设备制造安装验收标准如下：</w:t>
      </w:r>
    </w:p>
    <w:p>
      <w:pPr>
        <w:pStyle w:val="38"/>
        <w:spacing w:line="420" w:lineRule="exact"/>
        <w:rPr>
          <w:rFonts w:ascii="仿宋" w:hAnsi="仿宋" w:eastAsia="仿宋" w:cs="宋体"/>
          <w:sz w:val="24"/>
          <w:szCs w:val="24"/>
        </w:rPr>
      </w:pPr>
      <w:r>
        <w:rPr>
          <w:rFonts w:hint="eastAsia" w:ascii="仿宋" w:hAnsi="仿宋" w:eastAsia="仿宋" w:cs="宋体"/>
          <w:sz w:val="24"/>
          <w:szCs w:val="24"/>
        </w:rPr>
        <w:t>（1）中华人民共和国的国家标准：电梯工程施工质量验收规范（GB50310-2002）</w:t>
      </w:r>
    </w:p>
    <w:p>
      <w:pPr>
        <w:pStyle w:val="38"/>
        <w:spacing w:line="420" w:lineRule="exact"/>
        <w:rPr>
          <w:rFonts w:ascii="仿宋" w:hAnsi="仿宋" w:eastAsia="仿宋" w:cs="宋体"/>
          <w:sz w:val="24"/>
          <w:szCs w:val="24"/>
        </w:rPr>
      </w:pPr>
      <w:r>
        <w:rPr>
          <w:rFonts w:hint="eastAsia" w:ascii="仿宋" w:hAnsi="仿宋" w:eastAsia="仿宋" w:cs="宋体"/>
          <w:sz w:val="24"/>
          <w:szCs w:val="24"/>
        </w:rPr>
        <w:t>（2）中华人民共和国的国家标准:电梯制造和安装安全规范（GB7588-2003）</w:t>
      </w:r>
    </w:p>
    <w:p>
      <w:pPr>
        <w:pStyle w:val="38"/>
        <w:spacing w:line="420" w:lineRule="exact"/>
        <w:rPr>
          <w:rFonts w:ascii="仿宋" w:hAnsi="仿宋" w:eastAsia="仿宋" w:cs="宋体"/>
          <w:sz w:val="24"/>
          <w:szCs w:val="24"/>
        </w:rPr>
      </w:pPr>
      <w:r>
        <w:rPr>
          <w:rFonts w:hint="eastAsia" w:ascii="仿宋" w:hAnsi="仿宋" w:eastAsia="仿宋" w:cs="宋体"/>
          <w:sz w:val="24"/>
          <w:szCs w:val="24"/>
        </w:rPr>
        <w:t>（3）中华人民共和国的国家标准:电梯安装验收规范（GB10060-93）</w:t>
      </w:r>
    </w:p>
    <w:p>
      <w:pPr>
        <w:pStyle w:val="38"/>
        <w:spacing w:line="420" w:lineRule="exact"/>
        <w:rPr>
          <w:rFonts w:ascii="仿宋" w:hAnsi="仿宋" w:eastAsia="仿宋" w:cs="宋体"/>
          <w:sz w:val="24"/>
          <w:szCs w:val="24"/>
        </w:rPr>
      </w:pPr>
      <w:r>
        <w:rPr>
          <w:rFonts w:hint="eastAsia" w:ascii="仿宋" w:hAnsi="仿宋" w:eastAsia="仿宋" w:cs="宋体"/>
          <w:sz w:val="24"/>
          <w:szCs w:val="24"/>
        </w:rPr>
        <w:t>（4）中华人民共和国的国家标准:电梯技术条件（GB/T10058-2009）</w:t>
      </w:r>
    </w:p>
    <w:p>
      <w:pPr>
        <w:pStyle w:val="38"/>
        <w:spacing w:line="420" w:lineRule="exact"/>
        <w:rPr>
          <w:rFonts w:ascii="仿宋" w:hAnsi="仿宋" w:eastAsia="仿宋" w:cs="宋体"/>
          <w:sz w:val="24"/>
          <w:szCs w:val="24"/>
        </w:rPr>
      </w:pPr>
      <w:r>
        <w:rPr>
          <w:rFonts w:hint="eastAsia" w:ascii="仿宋" w:hAnsi="仿宋" w:eastAsia="仿宋" w:cs="宋体"/>
          <w:sz w:val="24"/>
          <w:szCs w:val="24"/>
        </w:rPr>
        <w:t>（5）中华人民共和国的国家标准:电梯试验方法（GB/T10059-2009）</w:t>
      </w:r>
    </w:p>
    <w:p>
      <w:pPr>
        <w:pStyle w:val="38"/>
        <w:spacing w:line="420" w:lineRule="exact"/>
        <w:rPr>
          <w:rFonts w:ascii="仿宋" w:hAnsi="仿宋" w:eastAsia="仿宋" w:cs="宋体"/>
          <w:sz w:val="24"/>
          <w:szCs w:val="24"/>
        </w:rPr>
      </w:pPr>
      <w:r>
        <w:rPr>
          <w:rFonts w:hint="eastAsia" w:ascii="仿宋" w:hAnsi="仿宋" w:eastAsia="仿宋" w:cs="宋体"/>
          <w:sz w:val="24"/>
          <w:szCs w:val="24"/>
        </w:rPr>
        <w:t>（6）中华人民共和国国家建设部“电梯手册”（JJ49）</w:t>
      </w:r>
    </w:p>
    <w:p>
      <w:pPr>
        <w:pStyle w:val="38"/>
        <w:spacing w:line="420" w:lineRule="exact"/>
        <w:rPr>
          <w:rFonts w:ascii="仿宋" w:hAnsi="仿宋" w:eastAsia="仿宋" w:cs="宋体"/>
          <w:sz w:val="24"/>
          <w:szCs w:val="24"/>
        </w:rPr>
      </w:pPr>
      <w:r>
        <w:rPr>
          <w:rFonts w:hint="eastAsia" w:ascii="仿宋" w:hAnsi="仿宋" w:eastAsia="仿宋" w:cs="宋体"/>
          <w:sz w:val="24"/>
          <w:szCs w:val="24"/>
        </w:rPr>
        <w:t>（7）电梯主参数及轿厢、井道、机房的形式与尺寸（GB/T7025-1997）</w:t>
      </w:r>
    </w:p>
    <w:p>
      <w:pPr>
        <w:pStyle w:val="38"/>
        <w:spacing w:line="420" w:lineRule="exact"/>
        <w:rPr>
          <w:rFonts w:ascii="仿宋" w:hAnsi="仿宋" w:eastAsia="仿宋" w:cs="宋体"/>
          <w:sz w:val="24"/>
          <w:szCs w:val="24"/>
        </w:rPr>
      </w:pPr>
      <w:r>
        <w:rPr>
          <w:rFonts w:hint="eastAsia" w:ascii="仿宋" w:hAnsi="仿宋" w:eastAsia="仿宋" w:cs="宋体"/>
          <w:sz w:val="24"/>
          <w:szCs w:val="24"/>
        </w:rPr>
        <w:t>（8）电梯曳引机（GB/T24478-2009）</w:t>
      </w:r>
    </w:p>
    <w:p>
      <w:pPr>
        <w:pStyle w:val="38"/>
        <w:spacing w:line="420" w:lineRule="exact"/>
        <w:rPr>
          <w:rFonts w:ascii="仿宋" w:hAnsi="仿宋" w:eastAsia="仿宋" w:cs="宋体"/>
          <w:sz w:val="24"/>
          <w:szCs w:val="24"/>
        </w:rPr>
      </w:pPr>
      <w:r>
        <w:rPr>
          <w:rFonts w:hint="eastAsia" w:ascii="仿宋" w:hAnsi="仿宋" w:eastAsia="仿宋" w:cs="宋体"/>
          <w:sz w:val="24"/>
          <w:szCs w:val="24"/>
        </w:rPr>
        <w:t>（9）电梯维修规范（GB/T18775-2002）</w:t>
      </w:r>
    </w:p>
    <w:p>
      <w:pPr>
        <w:pStyle w:val="38"/>
        <w:spacing w:line="420" w:lineRule="exact"/>
        <w:rPr>
          <w:rFonts w:ascii="仿宋" w:hAnsi="仿宋" w:eastAsia="仿宋" w:cs="宋体"/>
          <w:sz w:val="24"/>
          <w:szCs w:val="24"/>
        </w:rPr>
      </w:pPr>
      <w:r>
        <w:rPr>
          <w:rFonts w:hint="eastAsia" w:ascii="仿宋" w:hAnsi="仿宋" w:eastAsia="仿宋" w:cs="宋体"/>
          <w:sz w:val="24"/>
          <w:szCs w:val="24"/>
        </w:rPr>
        <w:t>（10）中华人民共和国的国家标准:高层民用建筑设计消防规范（GB50045）</w:t>
      </w:r>
    </w:p>
    <w:p>
      <w:pPr>
        <w:pStyle w:val="38"/>
        <w:spacing w:line="420" w:lineRule="exact"/>
        <w:rPr>
          <w:rFonts w:ascii="仿宋" w:hAnsi="仿宋" w:eastAsia="仿宋" w:cs="宋体"/>
          <w:sz w:val="24"/>
          <w:szCs w:val="24"/>
        </w:rPr>
      </w:pPr>
      <w:r>
        <w:rPr>
          <w:rFonts w:hint="eastAsia" w:ascii="仿宋" w:hAnsi="仿宋" w:eastAsia="仿宋" w:cs="宋体"/>
          <w:sz w:val="24"/>
          <w:szCs w:val="24"/>
        </w:rPr>
        <w:t>（11）电梯相关最新标准，（以新标准为准）</w:t>
      </w:r>
    </w:p>
    <w:p>
      <w:pPr>
        <w:pStyle w:val="38"/>
        <w:spacing w:line="420" w:lineRule="exact"/>
        <w:rPr>
          <w:rFonts w:ascii="仿宋" w:hAnsi="仿宋" w:eastAsia="仿宋"/>
          <w:sz w:val="24"/>
          <w:szCs w:val="24"/>
        </w:rPr>
      </w:pPr>
      <w:r>
        <w:rPr>
          <w:rFonts w:hint="eastAsia" w:ascii="仿宋" w:hAnsi="仿宋" w:eastAsia="仿宋" w:cs="宋体"/>
          <w:sz w:val="24"/>
          <w:szCs w:val="24"/>
        </w:rPr>
        <w:t>（12）其他有关的中国规定和由采购代理机构、采购人认可的其它国家的其它权威标准。</w:t>
      </w:r>
    </w:p>
    <w:p>
      <w:pPr>
        <w:snapToGrid w:val="0"/>
        <w:spacing w:line="420" w:lineRule="exact"/>
        <w:ind w:firstLine="354" w:firstLineChars="147"/>
        <w:rPr>
          <w:rFonts w:ascii="仿宋" w:hAnsi="仿宋" w:eastAsia="仿宋" w:cs="宋体"/>
          <w:bCs/>
          <w:sz w:val="24"/>
        </w:rPr>
      </w:pPr>
      <w:r>
        <w:rPr>
          <w:rFonts w:hint="eastAsia" w:ascii="仿宋" w:hAnsi="仿宋" w:eastAsia="仿宋" w:cs="宋体"/>
          <w:b/>
          <w:sz w:val="24"/>
        </w:rPr>
        <w:t>5、货款支付</w:t>
      </w:r>
    </w:p>
    <w:p>
      <w:pPr>
        <w:tabs>
          <w:tab w:val="left" w:pos="3780"/>
        </w:tabs>
        <w:spacing w:line="420" w:lineRule="exact"/>
        <w:rPr>
          <w:rFonts w:ascii="仿宋" w:hAnsi="仿宋" w:eastAsia="仿宋" w:cs="宋体"/>
          <w:sz w:val="24"/>
        </w:rPr>
      </w:pPr>
      <w:r>
        <w:rPr>
          <w:rFonts w:hint="eastAsia" w:ascii="仿宋" w:hAnsi="仿宋" w:eastAsia="仿宋" w:cs="宋体"/>
          <w:bCs/>
          <w:sz w:val="24"/>
        </w:rPr>
        <w:t xml:space="preserve">    1)预付款：</w:t>
      </w:r>
      <w:r>
        <w:rPr>
          <w:rFonts w:ascii="仿宋" w:hAnsi="仿宋" w:eastAsia="仿宋"/>
          <w:bCs/>
          <w:sz w:val="24"/>
        </w:rPr>
        <w:t>项目合同签订后</w:t>
      </w:r>
      <w:r>
        <w:rPr>
          <w:rFonts w:hint="eastAsia" w:ascii="仿宋" w:hAnsi="仿宋" w:eastAsia="仿宋"/>
          <w:bCs/>
          <w:sz w:val="24"/>
        </w:rPr>
        <w:t>，</w:t>
      </w:r>
      <w:r>
        <w:rPr>
          <w:rFonts w:hint="eastAsia" w:ascii="仿宋" w:hAnsi="仿宋" w:eastAsia="仿宋" w:cs="宋体"/>
          <w:sz w:val="24"/>
        </w:rPr>
        <w:t>自收到发票15日内预付中标价总额的40%。</w:t>
      </w:r>
    </w:p>
    <w:p>
      <w:pPr>
        <w:tabs>
          <w:tab w:val="left" w:pos="3780"/>
        </w:tabs>
        <w:spacing w:line="420" w:lineRule="exact"/>
        <w:rPr>
          <w:rFonts w:ascii="仿宋" w:hAnsi="仿宋" w:eastAsia="仿宋" w:cs="宋体"/>
          <w:sz w:val="24"/>
        </w:rPr>
      </w:pPr>
      <w:r>
        <w:rPr>
          <w:rFonts w:hint="eastAsia" w:ascii="仿宋" w:hAnsi="仿宋" w:eastAsia="仿宋" w:cs="宋体"/>
          <w:sz w:val="24"/>
        </w:rPr>
        <w:t xml:space="preserve">    2)乙方根据合同规定将货物交付、安装调试完毕，并按《关于转发&lt;杭州市政府采购履约验收暂行办法&gt;的通知》（余财采 【2020】 14号）组织验收，最终验收合格后，甲方凭发票、确认单以及合同上报区财政，区财政审批下拨款到位后，支付合同价剩余60%货款。 </w:t>
      </w:r>
    </w:p>
    <w:p>
      <w:pPr>
        <w:tabs>
          <w:tab w:val="left" w:pos="3780"/>
        </w:tabs>
        <w:spacing w:line="420" w:lineRule="exact"/>
        <w:rPr>
          <w:rFonts w:ascii="仿宋" w:hAnsi="仿宋" w:eastAsia="仿宋"/>
          <w:sz w:val="24"/>
        </w:rPr>
      </w:pPr>
      <w:r>
        <w:rPr>
          <w:rFonts w:hint="eastAsia" w:ascii="仿宋" w:hAnsi="仿宋" w:eastAsia="仿宋" w:cs="宋体"/>
          <w:sz w:val="24"/>
        </w:rPr>
        <w:t xml:space="preserve">    3)投标总价必须是完成包含电梯设备供货、安装（安装所需的一切零部件材料及专用工具、配件）、调试、培训、售后服务等一系列工作产生的所有费用，费用一次性包干，不予调整。</w:t>
      </w:r>
    </w:p>
    <w:p>
      <w:pPr>
        <w:spacing w:line="360" w:lineRule="auto"/>
        <w:ind w:firstLine="181" w:firstLineChars="50"/>
        <w:rPr>
          <w:rFonts w:ascii="仿宋_GB2312" w:hAnsi="仿宋" w:eastAsia="仿宋_GB2312" w:cs="仿宋_GB2312"/>
          <w:b/>
          <w:sz w:val="36"/>
          <w:szCs w:val="36"/>
        </w:rPr>
      </w:pPr>
    </w:p>
    <w:p>
      <w:pPr>
        <w:spacing w:line="360" w:lineRule="auto"/>
        <w:rPr>
          <w:rFonts w:ascii="仿宋" w:hAnsi="仿宋" w:eastAsia="仿宋"/>
          <w:sz w:val="24"/>
        </w:rPr>
      </w:pP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3287"/>
      <w:bookmarkEnd w:id="27"/>
      <w:bookmarkStart w:id="28" w:name="_Toc184314438"/>
      <w:bookmarkEnd w:id="28"/>
      <w:bookmarkStart w:id="29" w:name="_Toc184313256"/>
      <w:bookmarkEnd w:id="29"/>
      <w:bookmarkStart w:id="30" w:name="_Toc184314430"/>
      <w:bookmarkEnd w:id="30"/>
      <w:bookmarkStart w:id="31" w:name="_Toc184310288"/>
      <w:bookmarkEnd w:id="31"/>
      <w:bookmarkStart w:id="32" w:name="_Toc184314450"/>
      <w:bookmarkEnd w:id="32"/>
      <w:bookmarkStart w:id="33" w:name="_Toc184308081"/>
      <w:bookmarkEnd w:id="33"/>
      <w:bookmarkStart w:id="34" w:name="_Toc184310281"/>
      <w:bookmarkEnd w:id="34"/>
      <w:bookmarkStart w:id="35" w:name="_Toc184313292"/>
      <w:bookmarkEnd w:id="35"/>
      <w:bookmarkStart w:id="36" w:name="_Toc184308101"/>
      <w:bookmarkEnd w:id="36"/>
      <w:bookmarkStart w:id="37" w:name="_Toc184312086"/>
      <w:bookmarkEnd w:id="37"/>
      <w:bookmarkStart w:id="38" w:name="_Toc184314455"/>
      <w:bookmarkEnd w:id="38"/>
      <w:bookmarkStart w:id="39" w:name="_Toc184313303"/>
      <w:bookmarkEnd w:id="39"/>
      <w:bookmarkStart w:id="40" w:name="_Toc184312085"/>
      <w:bookmarkEnd w:id="40"/>
      <w:bookmarkStart w:id="41" w:name="_Toc184312098"/>
      <w:bookmarkEnd w:id="41"/>
      <w:bookmarkStart w:id="42" w:name="_Toc184310336"/>
      <w:bookmarkEnd w:id="42"/>
      <w:bookmarkStart w:id="43" w:name="_Toc184308054"/>
      <w:bookmarkEnd w:id="43"/>
      <w:bookmarkStart w:id="44" w:name="_Toc184313280"/>
      <w:bookmarkEnd w:id="44"/>
      <w:bookmarkStart w:id="45" w:name="_Toc184314431"/>
      <w:bookmarkEnd w:id="45"/>
      <w:bookmarkStart w:id="46" w:name="_Toc184314475"/>
      <w:bookmarkEnd w:id="46"/>
      <w:bookmarkStart w:id="47" w:name="_Toc184312069"/>
      <w:bookmarkEnd w:id="47"/>
      <w:bookmarkStart w:id="48" w:name="_Toc184310298"/>
      <w:bookmarkEnd w:id="48"/>
      <w:bookmarkStart w:id="49" w:name="_Toc184310297"/>
      <w:bookmarkEnd w:id="49"/>
      <w:bookmarkStart w:id="50" w:name="_Toc184313251"/>
      <w:bookmarkEnd w:id="50"/>
      <w:bookmarkStart w:id="51" w:name="_Toc184314478"/>
      <w:bookmarkEnd w:id="51"/>
      <w:bookmarkStart w:id="52" w:name="_Toc184313266"/>
      <w:bookmarkEnd w:id="52"/>
      <w:bookmarkStart w:id="53" w:name="_Toc184314459"/>
      <w:bookmarkEnd w:id="53"/>
      <w:bookmarkStart w:id="54" w:name="_Toc184310282"/>
      <w:bookmarkEnd w:id="54"/>
      <w:bookmarkStart w:id="55" w:name="_Toc184312068"/>
      <w:bookmarkEnd w:id="55"/>
      <w:bookmarkStart w:id="56" w:name="_Toc184310275"/>
      <w:bookmarkEnd w:id="56"/>
      <w:bookmarkStart w:id="57" w:name="_Toc184313263"/>
      <w:bookmarkEnd w:id="57"/>
      <w:bookmarkStart w:id="58" w:name="_Toc184308040"/>
      <w:bookmarkEnd w:id="58"/>
      <w:bookmarkStart w:id="59" w:name="_Toc184314428"/>
      <w:bookmarkEnd w:id="59"/>
      <w:bookmarkStart w:id="60" w:name="_Toc184314449"/>
      <w:bookmarkEnd w:id="60"/>
      <w:bookmarkStart w:id="61" w:name="_Toc184310317"/>
      <w:bookmarkEnd w:id="61"/>
      <w:bookmarkStart w:id="62" w:name="_Toc184310296"/>
      <w:bookmarkEnd w:id="62"/>
      <w:bookmarkStart w:id="63" w:name="_Toc184308066"/>
      <w:bookmarkEnd w:id="63"/>
      <w:bookmarkStart w:id="64" w:name="_Toc184308049"/>
      <w:bookmarkEnd w:id="64"/>
      <w:bookmarkStart w:id="65" w:name="_Toc184313259"/>
      <w:bookmarkEnd w:id="65"/>
      <w:bookmarkStart w:id="66" w:name="_Toc184313246"/>
      <w:bookmarkEnd w:id="66"/>
      <w:bookmarkStart w:id="67" w:name="_Toc184312112"/>
      <w:bookmarkEnd w:id="67"/>
      <w:bookmarkStart w:id="68" w:name="_Toc184314458"/>
      <w:bookmarkEnd w:id="68"/>
      <w:bookmarkStart w:id="69" w:name="_Toc184310292"/>
      <w:bookmarkEnd w:id="69"/>
      <w:bookmarkStart w:id="70" w:name="_Toc184313275"/>
      <w:bookmarkEnd w:id="70"/>
      <w:bookmarkStart w:id="71" w:name="_Toc184314429"/>
      <w:bookmarkEnd w:id="71"/>
      <w:bookmarkStart w:id="72" w:name="_Toc184310299"/>
      <w:bookmarkEnd w:id="72"/>
      <w:bookmarkStart w:id="73" w:name="_Toc184314413"/>
      <w:bookmarkEnd w:id="73"/>
      <w:bookmarkStart w:id="74" w:name="_Toc184312116"/>
      <w:bookmarkEnd w:id="74"/>
      <w:bookmarkStart w:id="75" w:name="_Toc184312115"/>
      <w:bookmarkEnd w:id="75"/>
      <w:bookmarkStart w:id="76" w:name="_Toc184313306"/>
      <w:bookmarkEnd w:id="76"/>
      <w:bookmarkStart w:id="77" w:name="_Toc184313277"/>
      <w:bookmarkEnd w:id="77"/>
      <w:bookmarkStart w:id="78" w:name="_Toc184313273"/>
      <w:bookmarkEnd w:id="78"/>
      <w:bookmarkStart w:id="79" w:name="_Toc184314434"/>
      <w:bookmarkEnd w:id="79"/>
      <w:bookmarkStart w:id="80" w:name="_Toc184308039"/>
      <w:bookmarkEnd w:id="80"/>
      <w:bookmarkStart w:id="81" w:name="_Toc184313253"/>
      <w:bookmarkEnd w:id="81"/>
      <w:bookmarkStart w:id="82" w:name="_Toc184310273"/>
      <w:bookmarkEnd w:id="82"/>
      <w:bookmarkStart w:id="83" w:name="_Toc184308105"/>
      <w:bookmarkEnd w:id="83"/>
      <w:bookmarkStart w:id="84" w:name="_Toc184308053"/>
      <w:bookmarkEnd w:id="84"/>
      <w:bookmarkStart w:id="85" w:name="_Toc184312097"/>
      <w:bookmarkEnd w:id="85"/>
      <w:bookmarkStart w:id="86" w:name="_Toc184308064"/>
      <w:bookmarkEnd w:id="86"/>
      <w:bookmarkStart w:id="87" w:name="_Toc184310322"/>
      <w:bookmarkEnd w:id="87"/>
      <w:bookmarkStart w:id="88" w:name="_Toc184308056"/>
      <w:bookmarkEnd w:id="88"/>
      <w:bookmarkStart w:id="89" w:name="_Toc184312117"/>
      <w:bookmarkEnd w:id="89"/>
      <w:bookmarkStart w:id="90" w:name="_Toc184312135"/>
      <w:bookmarkEnd w:id="90"/>
      <w:bookmarkStart w:id="91" w:name="_Toc184310339"/>
      <w:bookmarkEnd w:id="91"/>
      <w:bookmarkStart w:id="92" w:name="_Toc184308067"/>
      <w:bookmarkEnd w:id="92"/>
      <w:bookmarkStart w:id="93" w:name="_Toc184310314"/>
      <w:bookmarkEnd w:id="93"/>
      <w:bookmarkStart w:id="94" w:name="_Toc184312094"/>
      <w:bookmarkEnd w:id="94"/>
      <w:bookmarkStart w:id="95" w:name="_Toc184308061"/>
      <w:bookmarkEnd w:id="95"/>
      <w:bookmarkStart w:id="96" w:name="_Toc184313307"/>
      <w:bookmarkEnd w:id="96"/>
      <w:bookmarkStart w:id="97" w:name="_Toc184310272"/>
      <w:bookmarkEnd w:id="97"/>
      <w:bookmarkStart w:id="98" w:name="_Toc184312076"/>
      <w:bookmarkEnd w:id="98"/>
      <w:bookmarkStart w:id="99" w:name="_Toc184313260"/>
      <w:bookmarkEnd w:id="99"/>
      <w:bookmarkStart w:id="100" w:name="_Toc184312072"/>
      <w:bookmarkEnd w:id="100"/>
      <w:bookmarkStart w:id="101" w:name="_Toc184313262"/>
      <w:bookmarkEnd w:id="101"/>
      <w:bookmarkStart w:id="102" w:name="_Toc184314474"/>
      <w:bookmarkEnd w:id="102"/>
      <w:bookmarkStart w:id="103" w:name="_Toc184313244"/>
      <w:bookmarkEnd w:id="103"/>
      <w:bookmarkStart w:id="104" w:name="_Toc184312073"/>
      <w:bookmarkEnd w:id="104"/>
      <w:bookmarkStart w:id="105" w:name="_Toc184310344"/>
      <w:bookmarkEnd w:id="105"/>
      <w:bookmarkStart w:id="106" w:name="_Toc184310280"/>
      <w:bookmarkEnd w:id="106"/>
      <w:bookmarkStart w:id="107" w:name="_Toc184308074"/>
      <w:bookmarkEnd w:id="107"/>
      <w:bookmarkStart w:id="108" w:name="_Toc184314418"/>
      <w:bookmarkEnd w:id="108"/>
      <w:bookmarkStart w:id="109" w:name="_Toc184314472"/>
      <w:bookmarkEnd w:id="109"/>
      <w:bookmarkStart w:id="110" w:name="_Toc184312070"/>
      <w:bookmarkEnd w:id="110"/>
      <w:bookmarkStart w:id="111" w:name="_Toc184310274"/>
      <w:bookmarkEnd w:id="111"/>
      <w:bookmarkStart w:id="112" w:name="_Toc184308038"/>
      <w:bookmarkEnd w:id="112"/>
      <w:bookmarkStart w:id="113" w:name="_Toc184312067"/>
      <w:bookmarkEnd w:id="113"/>
      <w:bookmarkStart w:id="114" w:name="_Toc184312074"/>
      <w:bookmarkEnd w:id="114"/>
      <w:bookmarkStart w:id="115" w:name="_Toc184308080"/>
      <w:bookmarkEnd w:id="115"/>
      <w:bookmarkStart w:id="116" w:name="_Toc184314417"/>
      <w:bookmarkEnd w:id="116"/>
      <w:bookmarkStart w:id="117" w:name="_Toc184310289"/>
      <w:bookmarkEnd w:id="117"/>
      <w:bookmarkStart w:id="118" w:name="_Toc184310342"/>
      <w:bookmarkEnd w:id="118"/>
      <w:bookmarkStart w:id="119" w:name="_Toc184308104"/>
      <w:bookmarkEnd w:id="119"/>
      <w:bookmarkStart w:id="120" w:name="_Toc184314411"/>
      <w:bookmarkEnd w:id="120"/>
      <w:bookmarkStart w:id="121" w:name="_Toc184312092"/>
      <w:bookmarkEnd w:id="121"/>
      <w:bookmarkStart w:id="122" w:name="_Toc184314454"/>
      <w:bookmarkEnd w:id="122"/>
      <w:bookmarkStart w:id="123" w:name="_Toc184308055"/>
      <w:bookmarkEnd w:id="123"/>
      <w:bookmarkStart w:id="124" w:name="_Toc184310316"/>
      <w:bookmarkEnd w:id="124"/>
      <w:bookmarkStart w:id="125" w:name="_Toc184314416"/>
      <w:bookmarkEnd w:id="125"/>
      <w:bookmarkStart w:id="126" w:name="_Toc184310290"/>
      <w:bookmarkEnd w:id="126"/>
      <w:bookmarkStart w:id="127" w:name="_Toc184314415"/>
      <w:bookmarkEnd w:id="127"/>
      <w:bookmarkStart w:id="128" w:name="_Toc184314414"/>
      <w:bookmarkEnd w:id="128"/>
      <w:bookmarkStart w:id="129" w:name="_Toc184310276"/>
      <w:bookmarkEnd w:id="129"/>
      <w:bookmarkStart w:id="130" w:name="_Toc184310287"/>
      <w:bookmarkEnd w:id="130"/>
      <w:bookmarkStart w:id="131" w:name="_Toc184308042"/>
      <w:bookmarkEnd w:id="131"/>
      <w:bookmarkStart w:id="132" w:name="_Toc184314432"/>
      <w:bookmarkEnd w:id="132"/>
      <w:bookmarkStart w:id="133" w:name="_Toc184308059"/>
      <w:bookmarkEnd w:id="133"/>
      <w:bookmarkStart w:id="134" w:name="_Toc184314424"/>
      <w:bookmarkEnd w:id="134"/>
      <w:bookmarkStart w:id="135" w:name="_Toc184308076"/>
      <w:bookmarkEnd w:id="135"/>
      <w:bookmarkStart w:id="136" w:name="_Toc184314433"/>
      <w:bookmarkEnd w:id="136"/>
      <w:bookmarkStart w:id="137" w:name="_Toc184308044"/>
      <w:bookmarkEnd w:id="137"/>
      <w:bookmarkStart w:id="138" w:name="_Toc184313245"/>
      <w:bookmarkEnd w:id="138"/>
      <w:bookmarkStart w:id="139" w:name="_Toc184312087"/>
      <w:bookmarkEnd w:id="139"/>
      <w:bookmarkStart w:id="140" w:name="_Toc184308043"/>
      <w:bookmarkEnd w:id="140"/>
      <w:bookmarkStart w:id="141" w:name="_Toc184310318"/>
      <w:bookmarkEnd w:id="141"/>
      <w:bookmarkStart w:id="142" w:name="_Toc184308075"/>
      <w:bookmarkEnd w:id="142"/>
      <w:bookmarkStart w:id="143" w:name="_Toc184308096"/>
      <w:bookmarkEnd w:id="143"/>
      <w:bookmarkStart w:id="144" w:name="_Toc184310320"/>
      <w:bookmarkEnd w:id="144"/>
      <w:bookmarkStart w:id="145" w:name="_Toc184310335"/>
      <w:bookmarkEnd w:id="145"/>
      <w:bookmarkStart w:id="146" w:name="_Toc184314435"/>
      <w:bookmarkEnd w:id="146"/>
      <w:bookmarkStart w:id="147" w:name="_Toc184308062"/>
      <w:bookmarkEnd w:id="147"/>
      <w:bookmarkStart w:id="148" w:name="_Toc184314471"/>
      <w:bookmarkEnd w:id="148"/>
      <w:bookmarkStart w:id="149" w:name="_Toc184314448"/>
      <w:bookmarkEnd w:id="149"/>
      <w:bookmarkStart w:id="150" w:name="_Toc184310278"/>
      <w:bookmarkEnd w:id="150"/>
      <w:bookmarkStart w:id="151" w:name="_Toc184314437"/>
      <w:bookmarkEnd w:id="151"/>
      <w:bookmarkStart w:id="152" w:name="_Toc184308073"/>
      <w:bookmarkEnd w:id="152"/>
      <w:bookmarkStart w:id="153" w:name="_Toc184312111"/>
      <w:bookmarkEnd w:id="153"/>
      <w:bookmarkStart w:id="154" w:name="_Toc184313309"/>
      <w:bookmarkEnd w:id="154"/>
      <w:bookmarkStart w:id="155" w:name="_Toc184310340"/>
      <w:bookmarkEnd w:id="155"/>
      <w:bookmarkStart w:id="156" w:name="_Toc184308060"/>
      <w:bookmarkEnd w:id="156"/>
      <w:bookmarkStart w:id="157" w:name="_Toc184312075"/>
      <w:bookmarkEnd w:id="157"/>
      <w:bookmarkStart w:id="158" w:name="_Toc184308041"/>
      <w:bookmarkEnd w:id="158"/>
      <w:bookmarkStart w:id="159" w:name="_Toc184310294"/>
      <w:bookmarkEnd w:id="159"/>
      <w:bookmarkStart w:id="160" w:name="_Toc184312077"/>
      <w:bookmarkEnd w:id="160"/>
      <w:bookmarkStart w:id="161" w:name="_Toc184313290"/>
      <w:bookmarkEnd w:id="161"/>
      <w:bookmarkStart w:id="162" w:name="_Toc184312128"/>
      <w:bookmarkEnd w:id="162"/>
      <w:bookmarkStart w:id="163" w:name="_Toc184312090"/>
      <w:bookmarkEnd w:id="163"/>
      <w:bookmarkStart w:id="164" w:name="_Toc184308098"/>
      <w:bookmarkEnd w:id="164"/>
      <w:bookmarkStart w:id="165" w:name="_Toc184313261"/>
      <w:bookmarkEnd w:id="165"/>
      <w:bookmarkStart w:id="166" w:name="_Toc184314425"/>
      <w:bookmarkEnd w:id="166"/>
      <w:bookmarkStart w:id="167" w:name="_Toc184314427"/>
      <w:bookmarkEnd w:id="167"/>
      <w:bookmarkStart w:id="168" w:name="_Toc184312110"/>
      <w:bookmarkEnd w:id="168"/>
      <w:bookmarkStart w:id="169" w:name="_Toc184308106"/>
      <w:bookmarkEnd w:id="169"/>
      <w:bookmarkStart w:id="170" w:name="_Toc184312091"/>
      <w:bookmarkEnd w:id="170"/>
      <w:bookmarkStart w:id="171" w:name="_Toc184310312"/>
      <w:bookmarkEnd w:id="171"/>
      <w:bookmarkStart w:id="172" w:name="_Toc184308036"/>
      <w:bookmarkEnd w:id="172"/>
      <w:bookmarkStart w:id="173" w:name="_Toc184310304"/>
      <w:bookmarkEnd w:id="173"/>
      <w:bookmarkStart w:id="174" w:name="_Toc184313276"/>
      <w:bookmarkEnd w:id="174"/>
      <w:bookmarkStart w:id="175" w:name="_Toc184310330"/>
      <w:bookmarkEnd w:id="175"/>
      <w:bookmarkStart w:id="176" w:name="_Toc184312109"/>
      <w:bookmarkEnd w:id="176"/>
      <w:bookmarkStart w:id="177" w:name="_Toc184313304"/>
      <w:bookmarkEnd w:id="177"/>
      <w:bookmarkStart w:id="178" w:name="_Toc184310277"/>
      <w:bookmarkEnd w:id="178"/>
      <w:bookmarkStart w:id="179" w:name="_Toc184313284"/>
      <w:bookmarkEnd w:id="179"/>
      <w:bookmarkStart w:id="180" w:name="_Toc184312129"/>
      <w:bookmarkEnd w:id="180"/>
      <w:bookmarkStart w:id="181" w:name="_Toc184312089"/>
      <w:bookmarkEnd w:id="181"/>
      <w:bookmarkStart w:id="182" w:name="_Toc184313282"/>
      <w:bookmarkEnd w:id="182"/>
      <w:bookmarkStart w:id="183" w:name="_Toc184310332"/>
      <w:bookmarkEnd w:id="183"/>
      <w:bookmarkStart w:id="184" w:name="_Toc184310295"/>
      <w:bookmarkEnd w:id="184"/>
      <w:bookmarkStart w:id="185" w:name="_Toc184314468"/>
      <w:bookmarkEnd w:id="185"/>
      <w:bookmarkStart w:id="186" w:name="_Toc184313285"/>
      <w:bookmarkEnd w:id="186"/>
      <w:bookmarkStart w:id="187" w:name="_Toc184314477"/>
      <w:bookmarkEnd w:id="187"/>
      <w:bookmarkStart w:id="188" w:name="_Toc184308097"/>
      <w:bookmarkEnd w:id="188"/>
      <w:bookmarkStart w:id="189" w:name="_Toc184313305"/>
      <w:bookmarkEnd w:id="189"/>
      <w:bookmarkStart w:id="190" w:name="_Toc184314481"/>
      <w:bookmarkEnd w:id="190"/>
      <w:bookmarkStart w:id="191" w:name="_Toc184313265"/>
      <w:bookmarkEnd w:id="191"/>
      <w:bookmarkStart w:id="192" w:name="_Toc184310279"/>
      <w:bookmarkEnd w:id="192"/>
      <w:bookmarkStart w:id="193" w:name="_Toc184308045"/>
      <w:bookmarkEnd w:id="193"/>
      <w:bookmarkStart w:id="194" w:name="_Toc184314457"/>
      <w:bookmarkEnd w:id="194"/>
      <w:bookmarkStart w:id="195" w:name="_Toc184313278"/>
      <w:bookmarkEnd w:id="195"/>
      <w:bookmarkStart w:id="196" w:name="_Toc184312132"/>
      <w:bookmarkEnd w:id="196"/>
      <w:bookmarkStart w:id="197" w:name="_Toc184314412"/>
      <w:bookmarkEnd w:id="197"/>
      <w:bookmarkStart w:id="198" w:name="_Toc184312107"/>
      <w:bookmarkEnd w:id="198"/>
      <w:bookmarkStart w:id="199" w:name="_Toc184308068"/>
      <w:bookmarkEnd w:id="199"/>
      <w:bookmarkStart w:id="200" w:name="_Toc184312120"/>
      <w:bookmarkEnd w:id="200"/>
      <w:bookmarkStart w:id="201" w:name="_Toc184310313"/>
      <w:bookmarkEnd w:id="201"/>
      <w:bookmarkStart w:id="202" w:name="_Toc184314452"/>
      <w:bookmarkEnd w:id="202"/>
      <w:bookmarkStart w:id="203" w:name="_Toc184312134"/>
      <w:bookmarkEnd w:id="203"/>
      <w:bookmarkStart w:id="204" w:name="_Toc184312133"/>
      <w:bookmarkEnd w:id="204"/>
      <w:bookmarkStart w:id="205" w:name="_Toc184310338"/>
      <w:bookmarkEnd w:id="205"/>
      <w:bookmarkStart w:id="206" w:name="_Toc184313294"/>
      <w:bookmarkEnd w:id="206"/>
      <w:bookmarkStart w:id="207" w:name="_Toc184308050"/>
      <w:bookmarkEnd w:id="207"/>
      <w:bookmarkStart w:id="208" w:name="_Toc184312082"/>
      <w:bookmarkEnd w:id="208"/>
      <w:bookmarkStart w:id="209" w:name="_Toc184314464"/>
      <w:bookmarkEnd w:id="209"/>
      <w:bookmarkStart w:id="210" w:name="_Toc184308090"/>
      <w:bookmarkEnd w:id="210"/>
      <w:bookmarkStart w:id="211" w:name="_Toc184310333"/>
      <w:bookmarkEnd w:id="211"/>
      <w:bookmarkStart w:id="212" w:name="_Toc184310329"/>
      <w:bookmarkEnd w:id="212"/>
      <w:bookmarkStart w:id="213" w:name="_Toc184312122"/>
      <w:bookmarkEnd w:id="213"/>
      <w:bookmarkStart w:id="214" w:name="_Toc184308088"/>
      <w:bookmarkEnd w:id="214"/>
      <w:bookmarkStart w:id="215" w:name="_Toc184314467"/>
      <w:bookmarkEnd w:id="215"/>
      <w:bookmarkStart w:id="216" w:name="_Toc184313299"/>
      <w:bookmarkEnd w:id="216"/>
      <w:bookmarkStart w:id="217" w:name="_Toc184314466"/>
      <w:bookmarkEnd w:id="217"/>
      <w:bookmarkStart w:id="218" w:name="_Toc184312125"/>
      <w:bookmarkEnd w:id="218"/>
      <w:bookmarkStart w:id="219" w:name="_Toc184314469"/>
      <w:bookmarkEnd w:id="219"/>
      <w:bookmarkStart w:id="220" w:name="_Toc184312130"/>
      <w:bookmarkEnd w:id="220"/>
      <w:bookmarkStart w:id="221" w:name="_Toc184308046"/>
      <w:bookmarkEnd w:id="221"/>
      <w:bookmarkStart w:id="222" w:name="_Toc184308103"/>
      <w:bookmarkEnd w:id="222"/>
      <w:bookmarkStart w:id="223" w:name="_Toc184313296"/>
      <w:bookmarkEnd w:id="223"/>
      <w:bookmarkStart w:id="224" w:name="_Toc184308095"/>
      <w:bookmarkEnd w:id="224"/>
      <w:bookmarkStart w:id="225" w:name="_Toc184312105"/>
      <w:bookmarkEnd w:id="225"/>
      <w:bookmarkStart w:id="226" w:name="_Toc184314462"/>
      <w:bookmarkEnd w:id="226"/>
      <w:bookmarkStart w:id="227" w:name="_Toc184314463"/>
      <w:bookmarkEnd w:id="227"/>
      <w:bookmarkStart w:id="228" w:name="_Toc184312108"/>
      <w:bookmarkEnd w:id="228"/>
      <w:bookmarkStart w:id="229" w:name="_Toc184312127"/>
      <w:bookmarkEnd w:id="229"/>
      <w:bookmarkStart w:id="230" w:name="_Toc184308089"/>
      <w:bookmarkEnd w:id="230"/>
      <w:bookmarkStart w:id="231" w:name="_Toc184310331"/>
      <w:bookmarkEnd w:id="231"/>
      <w:bookmarkStart w:id="232" w:name="_Toc184314423"/>
      <w:bookmarkEnd w:id="232"/>
      <w:bookmarkStart w:id="233" w:name="_Toc184310334"/>
      <w:bookmarkEnd w:id="233"/>
      <w:bookmarkStart w:id="234" w:name="_Toc184310326"/>
      <w:bookmarkEnd w:id="234"/>
      <w:bookmarkStart w:id="235" w:name="_Toc184313252"/>
      <w:bookmarkEnd w:id="235"/>
      <w:bookmarkStart w:id="236" w:name="_Toc184312126"/>
      <w:bookmarkEnd w:id="236"/>
      <w:bookmarkStart w:id="237" w:name="_Toc184314476"/>
      <w:bookmarkEnd w:id="237"/>
      <w:bookmarkStart w:id="238" w:name="_Toc184310286"/>
      <w:bookmarkEnd w:id="238"/>
      <w:bookmarkStart w:id="239" w:name="_Toc184308094"/>
      <w:bookmarkEnd w:id="239"/>
      <w:bookmarkStart w:id="240" w:name="_Toc184310321"/>
      <w:bookmarkEnd w:id="240"/>
      <w:bookmarkStart w:id="241" w:name="_Toc184308037"/>
      <w:bookmarkEnd w:id="241"/>
      <w:bookmarkStart w:id="242" w:name="_Toc184308063"/>
      <w:bookmarkEnd w:id="242"/>
      <w:bookmarkStart w:id="243" w:name="_Toc184313288"/>
      <w:bookmarkEnd w:id="243"/>
      <w:bookmarkStart w:id="244" w:name="_Toc184314470"/>
      <w:bookmarkEnd w:id="244"/>
      <w:bookmarkStart w:id="245" w:name="_Toc184313248"/>
      <w:bookmarkEnd w:id="245"/>
      <w:bookmarkStart w:id="246" w:name="_Toc184312137"/>
      <w:bookmarkEnd w:id="246"/>
      <w:bookmarkStart w:id="247" w:name="_Toc184313241"/>
      <w:bookmarkEnd w:id="247"/>
      <w:bookmarkStart w:id="248" w:name="_Toc184308091"/>
      <w:bookmarkEnd w:id="248"/>
      <w:bookmarkStart w:id="249" w:name="_Toc184313243"/>
      <w:bookmarkEnd w:id="249"/>
      <w:bookmarkStart w:id="250" w:name="_Toc184308099"/>
      <w:bookmarkEnd w:id="250"/>
      <w:bookmarkStart w:id="251" w:name="_Toc184313300"/>
      <w:bookmarkEnd w:id="251"/>
      <w:bookmarkStart w:id="252" w:name="_Toc184308085"/>
      <w:bookmarkEnd w:id="252"/>
      <w:bookmarkStart w:id="253" w:name="_Toc184314465"/>
      <w:bookmarkEnd w:id="253"/>
      <w:bookmarkStart w:id="254" w:name="_Toc184313250"/>
      <w:bookmarkEnd w:id="254"/>
      <w:bookmarkStart w:id="255" w:name="_Toc184313301"/>
      <w:bookmarkEnd w:id="255"/>
      <w:bookmarkStart w:id="256" w:name="_Toc184312121"/>
      <w:bookmarkEnd w:id="256"/>
      <w:bookmarkStart w:id="257" w:name="_Toc184310328"/>
      <w:bookmarkEnd w:id="257"/>
      <w:bookmarkStart w:id="258" w:name="_Toc184310327"/>
      <w:bookmarkEnd w:id="258"/>
      <w:bookmarkStart w:id="259" w:name="_Toc184308079"/>
      <w:bookmarkEnd w:id="259"/>
      <w:bookmarkStart w:id="260" w:name="_Toc184314480"/>
      <w:bookmarkEnd w:id="260"/>
      <w:bookmarkStart w:id="261" w:name="_Toc184310324"/>
      <w:bookmarkEnd w:id="261"/>
      <w:bookmarkStart w:id="262" w:name="_Toc184308077"/>
      <w:bookmarkEnd w:id="262"/>
      <w:bookmarkStart w:id="263" w:name="_Toc184312123"/>
      <w:bookmarkEnd w:id="263"/>
      <w:bookmarkStart w:id="264" w:name="_Toc184310309"/>
      <w:bookmarkEnd w:id="264"/>
      <w:bookmarkStart w:id="265" w:name="_Toc184314482"/>
      <w:bookmarkEnd w:id="265"/>
      <w:bookmarkStart w:id="266" w:name="_Toc184312114"/>
      <w:bookmarkEnd w:id="266"/>
      <w:bookmarkStart w:id="267" w:name="_Toc184310325"/>
      <w:bookmarkEnd w:id="267"/>
      <w:bookmarkStart w:id="268" w:name="_Toc184314479"/>
      <w:bookmarkEnd w:id="268"/>
      <w:bookmarkStart w:id="269" w:name="_Toc184308092"/>
      <w:bookmarkEnd w:id="269"/>
      <w:bookmarkStart w:id="270" w:name="_Toc184313286"/>
      <w:bookmarkEnd w:id="270"/>
      <w:bookmarkStart w:id="271" w:name="_Toc184312071"/>
      <w:bookmarkEnd w:id="271"/>
      <w:bookmarkStart w:id="272" w:name="_Toc184314419"/>
      <w:bookmarkEnd w:id="272"/>
      <w:bookmarkStart w:id="273" w:name="_Toc184313242"/>
      <w:bookmarkEnd w:id="273"/>
      <w:bookmarkStart w:id="274" w:name="_Toc184313302"/>
      <w:bookmarkEnd w:id="274"/>
      <w:bookmarkStart w:id="275" w:name="_Toc184312118"/>
      <w:bookmarkEnd w:id="275"/>
      <w:bookmarkStart w:id="276" w:name="_Toc184312136"/>
      <w:bookmarkEnd w:id="276"/>
      <w:bookmarkStart w:id="277" w:name="_Toc184314422"/>
      <w:bookmarkEnd w:id="277"/>
      <w:bookmarkStart w:id="278" w:name="_Toc184313297"/>
      <w:bookmarkEnd w:id="278"/>
      <w:bookmarkStart w:id="279" w:name="_Toc184314460"/>
      <w:bookmarkEnd w:id="279"/>
      <w:bookmarkStart w:id="280" w:name="_Toc184313308"/>
      <w:bookmarkEnd w:id="280"/>
      <w:bookmarkStart w:id="281" w:name="_Toc184313310"/>
      <w:bookmarkEnd w:id="281"/>
      <w:bookmarkStart w:id="282" w:name="_Toc184313298"/>
      <w:bookmarkEnd w:id="282"/>
      <w:bookmarkStart w:id="283" w:name="_Toc184310319"/>
      <w:bookmarkEnd w:id="283"/>
      <w:bookmarkStart w:id="284" w:name="_Toc184310285"/>
      <w:bookmarkEnd w:id="284"/>
      <w:bookmarkStart w:id="285" w:name="_Toc184312138"/>
      <w:bookmarkEnd w:id="285"/>
      <w:bookmarkStart w:id="286" w:name="_Toc184308087"/>
      <w:bookmarkEnd w:id="286"/>
      <w:bookmarkStart w:id="287" w:name="_Toc184314461"/>
      <w:bookmarkEnd w:id="287"/>
      <w:bookmarkStart w:id="288" w:name="_Toc184312099"/>
      <w:bookmarkEnd w:id="288"/>
      <w:bookmarkStart w:id="289" w:name="_Toc184308107"/>
      <w:bookmarkEnd w:id="289"/>
      <w:bookmarkStart w:id="290" w:name="_Toc184313258"/>
      <w:bookmarkEnd w:id="290"/>
      <w:bookmarkStart w:id="291" w:name="_Toc184308071"/>
      <w:bookmarkEnd w:id="291"/>
      <w:bookmarkStart w:id="292" w:name="_Toc184308102"/>
      <w:bookmarkEnd w:id="292"/>
      <w:bookmarkStart w:id="293" w:name="_Toc184310306"/>
      <w:bookmarkEnd w:id="293"/>
      <w:bookmarkStart w:id="294" w:name="_Toc184313272"/>
      <w:bookmarkEnd w:id="294"/>
      <w:bookmarkStart w:id="295" w:name="_Toc184308078"/>
      <w:bookmarkEnd w:id="295"/>
      <w:bookmarkStart w:id="296" w:name="_Toc184312113"/>
      <w:bookmarkEnd w:id="296"/>
      <w:bookmarkStart w:id="297" w:name="_Toc184313293"/>
      <w:bookmarkEnd w:id="297"/>
      <w:bookmarkStart w:id="298" w:name="_Toc184313269"/>
      <w:bookmarkEnd w:id="298"/>
      <w:bookmarkStart w:id="299" w:name="_Toc184313289"/>
      <w:bookmarkEnd w:id="299"/>
      <w:bookmarkStart w:id="300" w:name="_Toc184314444"/>
      <w:bookmarkEnd w:id="300"/>
      <w:bookmarkStart w:id="301" w:name="_Toc184314456"/>
      <w:bookmarkEnd w:id="301"/>
      <w:bookmarkStart w:id="302" w:name="_Toc184314451"/>
      <w:bookmarkEnd w:id="302"/>
      <w:bookmarkStart w:id="303" w:name="_Toc184313274"/>
      <w:bookmarkEnd w:id="303"/>
      <w:bookmarkStart w:id="304" w:name="_Toc184308093"/>
      <w:bookmarkEnd w:id="304"/>
      <w:bookmarkStart w:id="305" w:name="_Toc184312080"/>
      <w:bookmarkEnd w:id="305"/>
      <w:bookmarkStart w:id="306" w:name="_Toc184308072"/>
      <w:bookmarkEnd w:id="306"/>
      <w:bookmarkStart w:id="307" w:name="_Toc184312124"/>
      <w:bookmarkEnd w:id="307"/>
      <w:bookmarkStart w:id="308" w:name="_Toc184312093"/>
      <w:bookmarkEnd w:id="308"/>
      <w:bookmarkStart w:id="309" w:name="_Toc184312102"/>
      <w:bookmarkEnd w:id="309"/>
      <w:bookmarkStart w:id="310" w:name="_Toc184313247"/>
      <w:bookmarkEnd w:id="310"/>
      <w:bookmarkStart w:id="311" w:name="_Toc184313295"/>
      <w:bookmarkEnd w:id="311"/>
      <w:bookmarkStart w:id="312" w:name="_Toc184314410"/>
      <w:bookmarkEnd w:id="312"/>
      <w:bookmarkStart w:id="313" w:name="_Toc184310307"/>
      <w:bookmarkEnd w:id="313"/>
      <w:bookmarkStart w:id="314" w:name="_Toc184313239"/>
      <w:bookmarkEnd w:id="314"/>
      <w:bookmarkStart w:id="315" w:name="_Toc184313238"/>
      <w:bookmarkEnd w:id="315"/>
      <w:bookmarkStart w:id="316" w:name="_Toc184314440"/>
      <w:bookmarkEnd w:id="316"/>
      <w:bookmarkStart w:id="317" w:name="_Toc184308086"/>
      <w:bookmarkEnd w:id="317"/>
      <w:bookmarkStart w:id="318" w:name="_Toc184314453"/>
      <w:bookmarkEnd w:id="318"/>
      <w:bookmarkStart w:id="319" w:name="_Toc184314436"/>
      <w:bookmarkEnd w:id="319"/>
      <w:bookmarkStart w:id="320" w:name="_Toc184310323"/>
      <w:bookmarkEnd w:id="320"/>
      <w:bookmarkStart w:id="321" w:name="_Toc184314441"/>
      <w:bookmarkEnd w:id="321"/>
      <w:bookmarkStart w:id="322" w:name="_Toc184308100"/>
      <w:bookmarkEnd w:id="322"/>
      <w:bookmarkStart w:id="323" w:name="_Toc184310308"/>
      <w:bookmarkEnd w:id="323"/>
      <w:bookmarkStart w:id="324" w:name="_Toc184310305"/>
      <w:bookmarkEnd w:id="324"/>
      <w:bookmarkStart w:id="325" w:name="_Toc184312104"/>
      <w:bookmarkEnd w:id="325"/>
      <w:bookmarkStart w:id="326" w:name="_Toc184308070"/>
      <w:bookmarkEnd w:id="326"/>
      <w:bookmarkStart w:id="327" w:name="_Toc184308051"/>
      <w:bookmarkEnd w:id="327"/>
      <w:bookmarkStart w:id="328" w:name="_Toc184312096"/>
      <w:bookmarkEnd w:id="328"/>
      <w:bookmarkStart w:id="329" w:name="_Toc184310283"/>
      <w:bookmarkEnd w:id="329"/>
      <w:bookmarkStart w:id="330" w:name="_Toc184314421"/>
      <w:bookmarkEnd w:id="330"/>
      <w:bookmarkStart w:id="331" w:name="_Toc184308082"/>
      <w:bookmarkEnd w:id="331"/>
      <w:bookmarkStart w:id="332" w:name="_Toc184312139"/>
      <w:bookmarkEnd w:id="332"/>
      <w:bookmarkStart w:id="333" w:name="_Toc184312131"/>
      <w:bookmarkEnd w:id="333"/>
      <w:bookmarkStart w:id="334" w:name="_Toc184310310"/>
      <w:bookmarkEnd w:id="334"/>
      <w:bookmarkStart w:id="335" w:name="_Toc184314473"/>
      <w:bookmarkEnd w:id="335"/>
      <w:bookmarkStart w:id="336" w:name="_Toc184314426"/>
      <w:bookmarkEnd w:id="336"/>
      <w:bookmarkStart w:id="337" w:name="_Toc184313291"/>
      <w:bookmarkEnd w:id="337"/>
      <w:bookmarkStart w:id="338" w:name="_Toc184310311"/>
      <w:bookmarkEnd w:id="338"/>
      <w:bookmarkStart w:id="339" w:name="_Toc184308048"/>
      <w:bookmarkEnd w:id="339"/>
      <w:bookmarkStart w:id="340" w:name="_Toc184312119"/>
      <w:bookmarkEnd w:id="340"/>
      <w:bookmarkStart w:id="341" w:name="_Toc184314443"/>
      <w:bookmarkEnd w:id="341"/>
      <w:bookmarkStart w:id="342" w:name="_Toc184308108"/>
      <w:bookmarkEnd w:id="342"/>
      <w:bookmarkStart w:id="343" w:name="_Toc184313240"/>
      <w:bookmarkEnd w:id="343"/>
      <w:bookmarkStart w:id="344" w:name="_Toc184312100"/>
      <w:bookmarkEnd w:id="344"/>
      <w:bookmarkStart w:id="345" w:name="_Toc184308084"/>
      <w:bookmarkEnd w:id="345"/>
      <w:bookmarkStart w:id="346" w:name="_Toc184310315"/>
      <w:bookmarkEnd w:id="346"/>
      <w:bookmarkStart w:id="347" w:name="_Toc184310293"/>
      <w:bookmarkEnd w:id="347"/>
      <w:bookmarkStart w:id="348" w:name="_Toc184314445"/>
      <w:bookmarkEnd w:id="348"/>
      <w:bookmarkStart w:id="349" w:name="_Toc184313257"/>
      <w:bookmarkEnd w:id="349"/>
      <w:bookmarkStart w:id="350" w:name="_Toc184313268"/>
      <w:bookmarkEnd w:id="350"/>
      <w:bookmarkStart w:id="351" w:name="_Toc184314442"/>
      <w:bookmarkEnd w:id="351"/>
      <w:bookmarkStart w:id="352" w:name="_Toc184308058"/>
      <w:bookmarkEnd w:id="352"/>
      <w:bookmarkStart w:id="353" w:name="_Toc184310291"/>
      <w:bookmarkEnd w:id="353"/>
      <w:bookmarkStart w:id="354" w:name="_Toc184313254"/>
      <w:bookmarkEnd w:id="354"/>
      <w:bookmarkStart w:id="355" w:name="_Toc184314447"/>
      <w:bookmarkEnd w:id="355"/>
      <w:bookmarkStart w:id="356" w:name="_Toc184312084"/>
      <w:bookmarkEnd w:id="356"/>
      <w:bookmarkStart w:id="357" w:name="_Toc184308047"/>
      <w:bookmarkEnd w:id="357"/>
      <w:bookmarkStart w:id="358" w:name="_Toc184314446"/>
      <w:bookmarkEnd w:id="358"/>
      <w:bookmarkStart w:id="359" w:name="_Toc184312081"/>
      <w:bookmarkEnd w:id="359"/>
      <w:bookmarkStart w:id="360" w:name="_Toc184314420"/>
      <w:bookmarkEnd w:id="360"/>
      <w:bookmarkStart w:id="361" w:name="_Toc184312078"/>
      <w:bookmarkEnd w:id="361"/>
      <w:bookmarkStart w:id="362" w:name="_Toc184313270"/>
      <w:bookmarkEnd w:id="362"/>
      <w:bookmarkStart w:id="363" w:name="_Toc184312106"/>
      <w:bookmarkEnd w:id="363"/>
      <w:bookmarkStart w:id="364" w:name="_Toc184313267"/>
      <w:bookmarkEnd w:id="364"/>
      <w:bookmarkStart w:id="365" w:name="_Toc184313279"/>
      <w:bookmarkEnd w:id="365"/>
      <w:bookmarkStart w:id="366" w:name="_Toc184312088"/>
      <w:bookmarkEnd w:id="366"/>
      <w:bookmarkStart w:id="367" w:name="_Toc184313249"/>
      <w:bookmarkEnd w:id="367"/>
      <w:bookmarkStart w:id="368" w:name="_Toc184313283"/>
      <w:bookmarkEnd w:id="368"/>
      <w:bookmarkStart w:id="369" w:name="_Toc184313255"/>
      <w:bookmarkEnd w:id="369"/>
      <w:bookmarkStart w:id="370" w:name="_Toc184312083"/>
      <w:bookmarkEnd w:id="370"/>
      <w:bookmarkStart w:id="371" w:name="_Toc184312103"/>
      <w:bookmarkEnd w:id="371"/>
      <w:bookmarkStart w:id="372" w:name="_Toc184310302"/>
      <w:bookmarkEnd w:id="372"/>
      <w:bookmarkStart w:id="373" w:name="_Toc184310337"/>
      <w:bookmarkEnd w:id="373"/>
      <w:bookmarkStart w:id="374" w:name="_Toc184308052"/>
      <w:bookmarkEnd w:id="374"/>
      <w:bookmarkStart w:id="375" w:name="_Toc184308083"/>
      <w:bookmarkEnd w:id="375"/>
      <w:bookmarkStart w:id="376" w:name="_Toc184310303"/>
      <w:bookmarkEnd w:id="376"/>
      <w:bookmarkStart w:id="377" w:name="_Toc184313264"/>
      <w:bookmarkEnd w:id="377"/>
      <w:bookmarkStart w:id="378" w:name="_Toc184312095"/>
      <w:bookmarkEnd w:id="378"/>
      <w:bookmarkStart w:id="379" w:name="_Toc184308065"/>
      <w:bookmarkEnd w:id="379"/>
      <w:bookmarkStart w:id="380" w:name="_Toc184310341"/>
      <w:bookmarkEnd w:id="380"/>
      <w:bookmarkStart w:id="381" w:name="_Toc184310284"/>
      <w:bookmarkEnd w:id="381"/>
      <w:bookmarkStart w:id="382" w:name="_Toc184312079"/>
      <w:bookmarkEnd w:id="382"/>
      <w:bookmarkStart w:id="383" w:name="_Toc184308069"/>
      <w:bookmarkEnd w:id="383"/>
      <w:bookmarkStart w:id="384" w:name="_Toc184310343"/>
      <w:bookmarkEnd w:id="384"/>
      <w:bookmarkStart w:id="385" w:name="_Toc184313271"/>
      <w:bookmarkEnd w:id="385"/>
      <w:bookmarkStart w:id="386" w:name="_Toc184310300"/>
      <w:bookmarkEnd w:id="386"/>
      <w:bookmarkStart w:id="387" w:name="_Toc184313281"/>
      <w:bookmarkEnd w:id="387"/>
      <w:bookmarkStart w:id="388" w:name="_Toc184314439"/>
      <w:bookmarkEnd w:id="388"/>
      <w:bookmarkStart w:id="389" w:name="_Toc184308057"/>
      <w:bookmarkEnd w:id="389"/>
      <w:bookmarkStart w:id="390" w:name="_Toc184310301"/>
      <w:bookmarkEnd w:id="390"/>
      <w:bookmarkStart w:id="391" w:name="_Toc184312101"/>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96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45"/>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sz w:val="24"/>
              </w:rPr>
            </w:pPr>
            <w:r>
              <w:rPr>
                <w:rFonts w:hint="eastAsia" w:ascii="仿宋" w:hAnsi="仿宋" w:eastAsia="仿宋" w:cs="仿宋_GB2312"/>
                <w:bCs/>
                <w:sz w:val="24"/>
              </w:rPr>
              <w:t>序号</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sz w:val="24"/>
              </w:rPr>
            </w:pPr>
            <w:r>
              <w:rPr>
                <w:rFonts w:hint="eastAsia" w:ascii="仿宋" w:hAnsi="仿宋" w:eastAsia="仿宋" w:cs="仿宋_GB2312"/>
                <w:bCs/>
                <w:sz w:val="24"/>
              </w:rPr>
              <w:t>评标标准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sz w:val="24"/>
              </w:rPr>
            </w:pPr>
            <w:r>
              <w:rPr>
                <w:rFonts w:hint="eastAsia" w:ascii="仿宋" w:hAnsi="仿宋" w:eastAsia="仿宋" w:cs="仿宋_GB2312"/>
                <w:bCs/>
                <w:sz w:val="24"/>
              </w:rPr>
              <w:t>权重</w:t>
            </w:r>
          </w:p>
        </w:tc>
        <w:tc>
          <w:tcPr>
            <w:tcW w:w="1701" w:type="dxa"/>
            <w:tcBorders>
              <w:top w:val="single" w:color="auto" w:sz="4" w:space="0"/>
              <w:left w:val="single" w:color="auto" w:sz="4" w:space="0"/>
              <w:bottom w:val="single" w:color="auto" w:sz="4" w:space="0"/>
              <w:right w:val="single" w:color="auto" w:sz="4" w:space="0"/>
            </w:tcBorders>
          </w:tcPr>
          <w:p>
            <w:pPr>
              <w:rPr>
                <w:rFonts w:eastAsia="Times New Roman"/>
                <w:szCs w:val="21"/>
              </w:rPr>
            </w:pPr>
            <w:r>
              <w:rPr>
                <w:rFonts w:hint="eastAsia" w:ascii="仿宋" w:hAnsi="仿宋" w:eastAsia="仿宋" w:cs="仿宋_GB2312"/>
                <w:bCs/>
                <w:sz w:val="24"/>
              </w:rPr>
              <w:t>投标文件中评标标准相应的商务技术资料目录</w:t>
            </w:r>
            <w:r>
              <w:rPr>
                <w:rFonts w:hint="eastAsia" w:ascii="宋体" w:hAnsi="宋体" w:eastAsia="Times New Roman"/>
                <w:sz w:val="24"/>
                <w:shd w:val="clear" w:color="auto" w:fill="FFFFFF"/>
              </w:rPr>
              <w:t> </w:t>
            </w:r>
            <w:r>
              <w:rPr>
                <w:rFonts w:hint="eastAsia"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817" w:type="dxa"/>
            <w:tcBorders>
              <w:top w:val="nil"/>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1</w:t>
            </w:r>
          </w:p>
        </w:tc>
        <w:tc>
          <w:tcPr>
            <w:tcW w:w="5245" w:type="dxa"/>
            <w:tcBorders>
              <w:top w:val="single" w:color="auto" w:sz="4" w:space="0"/>
              <w:left w:val="single" w:color="auto" w:sz="4" w:space="0"/>
              <w:right w:val="single" w:color="auto" w:sz="4" w:space="0"/>
            </w:tcBorders>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投标产品满足或优于招标文件中电梯技术规格参数以及功能配备的得10分，每负偏离一项扣1分，扣完为止。</w:t>
            </w:r>
          </w:p>
        </w:tc>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ascii="仿宋_GB2312" w:hAnsi="仿宋" w:eastAsia="仿宋_GB2312" w:cs="Arial"/>
                <w:kern w:val="0"/>
                <w:sz w:val="24"/>
              </w:rPr>
              <w:t>10</w:t>
            </w:r>
          </w:p>
        </w:tc>
        <w:tc>
          <w:tcPr>
            <w:tcW w:w="1701" w:type="dxa"/>
            <w:tcBorders>
              <w:top w:val="nil"/>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技术规格及技术要求响应情况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2</w:t>
            </w:r>
          </w:p>
        </w:tc>
        <w:tc>
          <w:tcPr>
            <w:tcW w:w="5245" w:type="dxa"/>
            <w:tcBorders>
              <w:top w:val="single" w:color="auto" w:sz="4" w:space="0"/>
              <w:left w:val="single" w:color="auto" w:sz="4" w:space="0"/>
              <w:bottom w:val="single" w:color="auto" w:sz="4" w:space="0"/>
              <w:right w:val="single" w:color="auto" w:sz="4" w:space="0"/>
            </w:tcBorders>
          </w:tcPr>
          <w:p>
            <w:pPr>
              <w:spacing w:line="288" w:lineRule="auto"/>
              <w:rPr>
                <w:rFonts w:ascii="仿宋_GB2312" w:hAnsi="仿宋" w:eastAsia="仿宋_GB2312" w:cs="Arial"/>
                <w:kern w:val="0"/>
                <w:sz w:val="24"/>
              </w:rPr>
            </w:pPr>
            <w:r>
              <w:rPr>
                <w:rFonts w:hint="eastAsia" w:ascii="仿宋_GB2312" w:hAnsi="仿宋" w:eastAsia="仿宋_GB2312" w:cs="Arial"/>
                <w:kern w:val="0"/>
                <w:sz w:val="24"/>
              </w:rPr>
              <w:t>投标产品装潢用材和装潢效果满足或者优于招标文件电梯装潢说明得4分，其中带●的负偏离或不响应每项扣1分，其余每负偏离一项扣0.5分，扣完为止。</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装饰要求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3</w:t>
            </w:r>
          </w:p>
        </w:tc>
        <w:tc>
          <w:tcPr>
            <w:tcW w:w="5245"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根据电梯门（包含客梯和货梯）光幕的光束数进行评审：</w:t>
            </w: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1）光束数≧154束，得4分；</w:t>
            </w: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2）其它不得分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光束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4</w:t>
            </w:r>
          </w:p>
        </w:tc>
        <w:tc>
          <w:tcPr>
            <w:tcW w:w="5245"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拟派工程管理团队具有高级工程师证书（电梯相关）的，每提供1人得2分，最高2分；具有中级工程师证书（电梯相关）的，每提供1人得1分，最高2分。（提供相关证书、劳动合同以及相关人员身份证扫描件加盖公章。）</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项目组成人员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5</w:t>
            </w:r>
          </w:p>
        </w:tc>
        <w:tc>
          <w:tcPr>
            <w:tcW w:w="5245"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5.1电梯原厂保质期基数24个月，每延长6个月加1分，最高加4分。</w:t>
            </w: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5.2投标客梯六大件（曳引机、控制柜、门机、限速器、安全钳、缓冲器）承诺原厂质保期限及服务承诺是否满足售后服务要求。全面满足故障响应、处理时间要求的得6分，如有一项不满足不得分。需要提供加盖原厂质保承诺书否则不得分。</w:t>
            </w: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5.3售后服务方案（3分）：具有全面性（1.5分），包含维保队伍安排、定期巡检（质保期内的工作应包括对所有电梯每月至少2次的常规检查、调整和润滑以及半年度检查、年度检查项目，具体的操作程序和内容须在投标时说明）、缺陷保修结束前系统检测；具有合理性（1.5分）。</w:t>
            </w:r>
          </w:p>
          <w:p>
            <w:pPr>
              <w:spacing w:line="360" w:lineRule="auto"/>
              <w:rPr>
                <w:rFonts w:ascii="仿宋_GB2312" w:hAnsi="仿宋" w:eastAsia="仿宋" w:cs="Arial"/>
                <w:kern w:val="0"/>
                <w:sz w:val="24"/>
              </w:rPr>
            </w:pPr>
            <w:r>
              <w:rPr>
                <w:rFonts w:hint="eastAsia" w:ascii="仿宋_GB2312" w:hAnsi="仿宋" w:eastAsia="仿宋_GB2312" w:cs="Arial"/>
                <w:kern w:val="0"/>
                <w:sz w:val="24"/>
              </w:rPr>
              <w:t>5.4质保期外维保：提供在质保期满后不少于5年的维修和保养服务费用，分别按大包和小包进行报价，并提供维保合同模板。根据维保价格说明和维保合同内容的合理性进行打分 （2分）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15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质保及售后服务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6</w:t>
            </w:r>
          </w:p>
        </w:tc>
        <w:tc>
          <w:tcPr>
            <w:tcW w:w="5245"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承诺在接到维修电话后维修人员0.5小时内到达现场的得4分，2小时内得2分，4小时内得1分；12小时以上不得分。（提供承诺书，不提供不得分。）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应急救援能力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7</w:t>
            </w:r>
          </w:p>
        </w:tc>
        <w:tc>
          <w:tcPr>
            <w:tcW w:w="5245"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客梯轿厢材质（304发纹不锈钢）中性盐雾测试，试验96小时后，依据GB6461判定等级，保护等级≥9级则得4分；保护等级≥7但＜9级则得3分；其余不得分（需提供具有检测资质的机构出具的检测报告复印件加盖公章，否则不得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材质检测报告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8</w:t>
            </w:r>
          </w:p>
        </w:tc>
        <w:tc>
          <w:tcPr>
            <w:tcW w:w="5245"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投标人提供的施工方案（质量保证措施、施工进度保证、安全生产、文明施工、安装调试、验收等）具有完整性（0-3分）、合理性(0-3 分)；培训计划的完整性(0-2 分)、合理性(0-2 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10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施工方案及培训计划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9</w:t>
            </w:r>
          </w:p>
        </w:tc>
        <w:tc>
          <w:tcPr>
            <w:tcW w:w="5245" w:type="dxa"/>
            <w:tcBorders>
              <w:top w:val="single" w:color="auto" w:sz="4" w:space="0"/>
              <w:left w:val="single" w:color="auto" w:sz="4" w:space="0"/>
              <w:bottom w:val="single" w:color="auto" w:sz="4" w:space="0"/>
              <w:right w:val="single" w:color="auto" w:sz="4" w:space="0"/>
            </w:tcBorders>
          </w:tcPr>
          <w:p>
            <w:pPr>
              <w:tabs>
                <w:tab w:val="left" w:pos="1620"/>
              </w:tabs>
              <w:spacing w:line="360" w:lineRule="auto"/>
              <w:rPr>
                <w:rFonts w:ascii="仿宋_GB2312" w:hAnsi="仿宋" w:eastAsia="仿宋_GB2312" w:cs="Arial"/>
                <w:kern w:val="0"/>
                <w:sz w:val="24"/>
              </w:rPr>
            </w:pPr>
            <w:r>
              <w:rPr>
                <w:rFonts w:hint="eastAsia" w:ascii="仿宋_GB2312" w:hAnsi="仿宋" w:eastAsia="仿宋_GB2312" w:cs="Arial"/>
                <w:kern w:val="0"/>
                <w:sz w:val="24"/>
              </w:rPr>
              <w:t>提供制造商职业健康安全管理体系认证证书复印件并加盖公章的得2分；</w:t>
            </w:r>
          </w:p>
          <w:p>
            <w:pPr>
              <w:tabs>
                <w:tab w:val="left" w:pos="1620"/>
              </w:tabs>
              <w:spacing w:line="360" w:lineRule="auto"/>
              <w:rPr>
                <w:rFonts w:ascii="仿宋_GB2312" w:hAnsi="仿宋" w:eastAsia="仿宋_GB2312" w:cs="Arial"/>
                <w:kern w:val="0"/>
                <w:sz w:val="24"/>
              </w:rPr>
            </w:pPr>
            <w:r>
              <w:rPr>
                <w:rFonts w:hint="eastAsia" w:ascii="仿宋_GB2312" w:hAnsi="仿宋" w:eastAsia="仿宋_GB2312" w:cs="Arial"/>
                <w:kern w:val="0"/>
                <w:sz w:val="24"/>
              </w:rPr>
              <w:t>提供制造商质量管理体系认证证书复印件并加盖公章的得2分；</w:t>
            </w:r>
          </w:p>
          <w:p>
            <w:pPr>
              <w:tabs>
                <w:tab w:val="left" w:pos="1620"/>
              </w:tabs>
              <w:spacing w:line="360" w:lineRule="auto"/>
              <w:rPr>
                <w:rFonts w:ascii="仿宋_GB2312" w:hAnsi="仿宋" w:eastAsia="仿宋_GB2312" w:cs="Arial"/>
                <w:kern w:val="0"/>
                <w:sz w:val="24"/>
              </w:rPr>
            </w:pPr>
            <w:r>
              <w:rPr>
                <w:rFonts w:hint="eastAsia" w:ascii="仿宋_GB2312" w:hAnsi="仿宋" w:eastAsia="仿宋_GB2312" w:cs="Arial"/>
                <w:kern w:val="0"/>
                <w:sz w:val="24"/>
              </w:rPr>
              <w:t>提供制造商环境管理体系认证证书复印件并加盖公章的得2分。</w:t>
            </w:r>
          </w:p>
          <w:p>
            <w:pPr>
              <w:tabs>
                <w:tab w:val="left" w:pos="1620"/>
              </w:tabs>
              <w:spacing w:line="360" w:lineRule="auto"/>
              <w:rPr>
                <w:rFonts w:ascii="仿宋_GB2312" w:hAnsi="仿宋" w:eastAsia="仿宋_GB2312" w:cs="Arial"/>
                <w:kern w:val="0"/>
                <w:sz w:val="24"/>
              </w:rPr>
            </w:pPr>
            <w:r>
              <w:rPr>
                <w:rFonts w:hint="eastAsia" w:ascii="仿宋_GB2312" w:hAnsi="仿宋" w:eastAsia="仿宋_GB2312" w:cs="Arial"/>
                <w:kern w:val="0"/>
                <w:sz w:val="24"/>
              </w:rPr>
              <w:t>所有证书须在有效期内。</w:t>
            </w:r>
            <w:r>
              <w:rPr>
                <w:rFonts w:ascii="仿宋_GB2312" w:hAnsi="仿宋" w:eastAsia="仿宋_GB2312" w:cs="Arial"/>
                <w:kern w:val="0"/>
                <w:sz w:val="24"/>
              </w:rPr>
              <w:tab/>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6</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制造商具有管理体系认证并在有效期内（投标文件中提供证书复印件加盖公章）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10</w:t>
            </w:r>
          </w:p>
        </w:tc>
        <w:tc>
          <w:tcPr>
            <w:tcW w:w="5245"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制造商在市级及市级以上电梯维保单位年度考核及星级评定结果的通报中2015年至2021年度获得6次及以上的五星单位得6分，获得5次五星单位的得5分，获得4次五星单位的得4分，获得3次五星单位的得3分，获得2次五星单位的得2分，其他不得分。</w:t>
            </w: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投标文件中须提供星级评定相关证明材料，否则不得分。同一年度不同地区仅算一次。</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6</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电梯维保星级服务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11</w:t>
            </w:r>
          </w:p>
        </w:tc>
        <w:tc>
          <w:tcPr>
            <w:tcW w:w="5245"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 w:eastAsia="仿宋_GB2312" w:cs="Arial"/>
                <w:kern w:val="0"/>
                <w:sz w:val="24"/>
              </w:rPr>
            </w:pPr>
            <w:r>
              <w:rPr>
                <w:rFonts w:hint="eastAsia" w:ascii="仿宋_GB2312" w:hAnsi="仿宋" w:eastAsia="仿宋_GB2312" w:cs="Arial"/>
                <w:kern w:val="0"/>
                <w:sz w:val="24"/>
              </w:rPr>
              <w:t>投标人或制造商自2019年1月1日（时间以合同或协议签订时间为准）以来，完成过类似业绩项目，每提供一个项目得1分，最多得3分。</w:t>
            </w:r>
          </w:p>
          <w:p>
            <w:pPr>
              <w:spacing w:line="360" w:lineRule="auto"/>
              <w:rPr>
                <w:rFonts w:ascii="仿宋_GB2312" w:hAnsi="仿宋" w:eastAsia="仿宋_GB2312" w:cs="Arial"/>
                <w:kern w:val="0"/>
                <w:sz w:val="24"/>
              </w:rPr>
            </w:pPr>
            <w:r>
              <w:rPr>
                <w:rFonts w:hint="eastAsia" w:ascii="仿宋_GB2312" w:hAnsi="仿宋" w:eastAsia="仿宋_GB2312" w:cs="Arial"/>
                <w:kern w:val="0"/>
                <w:sz w:val="24"/>
              </w:rPr>
              <w:t>在投标文件中提供合同或协议书扫描件（应包含首页、内容页、双方签字盖章页），否则不得分。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Arial"/>
                <w:kern w:val="0"/>
                <w:sz w:val="24"/>
              </w:rPr>
            </w:pPr>
            <w:r>
              <w:rPr>
                <w:rFonts w:hint="eastAsia" w:ascii="仿宋_GB2312" w:hAnsi="仿宋" w:eastAsia="仿宋_GB2312" w:cs="Arial"/>
                <w:kern w:val="0"/>
                <w:sz w:val="24"/>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ascii="仿宋_GB2312" w:eastAsia="仿宋_GB2312"/>
                <w:sz w:val="24"/>
              </w:rPr>
            </w:pPr>
            <w:r>
              <w:rPr>
                <w:rFonts w:hint="eastAsia" w:ascii="仿宋_GB2312" w:eastAsia="仿宋_GB2312"/>
                <w:sz w:val="24"/>
              </w:rPr>
              <w:t>12</w:t>
            </w:r>
          </w:p>
        </w:tc>
        <w:tc>
          <w:tcPr>
            <w:tcW w:w="5245" w:type="dxa"/>
            <w:tcBorders>
              <w:top w:val="single" w:color="auto" w:sz="4" w:space="0"/>
              <w:left w:val="single" w:color="auto" w:sz="4" w:space="0"/>
              <w:bottom w:val="single" w:color="auto" w:sz="4" w:space="0"/>
              <w:right w:val="single" w:color="auto" w:sz="4" w:space="0"/>
            </w:tcBorders>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有效投标报价的最低价作为评标基准价，其最低报价为满分；按［投标报价得分=（评标基准价/投标报价）*30］的计算公式计算。</w:t>
            </w:r>
          </w:p>
          <w:p>
            <w:pPr>
              <w:widowControl/>
              <w:shd w:val="clear" w:color="auto" w:fill="FFFFFF"/>
              <w:spacing w:after="225" w:line="315" w:lineRule="atLeast"/>
              <w:ind w:firstLine="420"/>
              <w:jc w:val="left"/>
              <w:rPr>
                <w:rFonts w:ascii="仿宋" w:hAnsi="仿宋" w:eastAsia="仿宋" w:cs="仿宋_GB2312"/>
                <w:sz w:val="24"/>
              </w:rPr>
            </w:pPr>
            <w:r>
              <w:rPr>
                <w:rFonts w:hint="eastAsia" w:ascii="仿宋" w:hAnsi="仿宋" w:eastAsia="仿宋" w:cs="仿宋_GB2312"/>
                <w:sz w:val="24"/>
              </w:rPr>
              <w:t>评标过程中，不得去掉报价中的最高报价和最低报价。</w:t>
            </w:r>
          </w:p>
          <w:p>
            <w:pPr>
              <w:widowControl/>
              <w:shd w:val="clear" w:color="auto" w:fill="FFFFFF"/>
              <w:spacing w:after="225" w:line="315" w:lineRule="atLeast"/>
              <w:ind w:firstLine="420"/>
              <w:jc w:val="left"/>
              <w:rPr>
                <w:rFonts w:ascii="仿宋" w:eastAsia="仿宋"/>
                <w:sz w:val="24"/>
              </w:rPr>
            </w:pPr>
            <w:r>
              <w:rPr>
                <w:rFonts w:hint="eastAsia" w:ascii="仿宋" w:hAnsi="仿宋" w:eastAsia="仿宋" w:cs="仿宋_GB2312"/>
                <w:sz w:val="24"/>
              </w:rPr>
              <w:t>因落实政府采购政策需要进行价格调整的，以调整后的价格计算评标基准价和投标报价。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30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rPr>
              <w:t>/</w:t>
            </w:r>
          </w:p>
        </w:tc>
      </w:tr>
    </w:tbl>
    <w:p>
      <w:pPr>
        <w:snapToGrid w:val="0"/>
        <w:spacing w:line="360" w:lineRule="auto"/>
        <w:jc w:val="center"/>
        <w:rPr>
          <w:rFonts w:ascii="仿宋" w:hAnsi="仿宋" w:eastAsia="仿宋" w:cs="仿宋_GB2312"/>
          <w:b/>
          <w:sz w:val="32"/>
          <w:szCs w:val="20"/>
        </w:rPr>
      </w:pPr>
    </w:p>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6"/>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6"/>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6"/>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6"/>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6"/>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6"/>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6"/>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6"/>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6"/>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w:t>
      </w:r>
      <w:r>
        <w:rPr>
          <w:rFonts w:hint="eastAsia" w:ascii="仿宋_GB2312" w:hAnsi="仿宋" w:eastAsia="仿宋_GB2312" w:cs="Arial"/>
          <w:b/>
          <w:bCs/>
          <w:kern w:val="0"/>
          <w:szCs w:val="24"/>
        </w:rPr>
        <w:t>给予投标人提交澄清、说明或补正的时间不得少于半小时，</w:t>
      </w:r>
      <w:r>
        <w:rPr>
          <w:rFonts w:hint="eastAsia" w:ascii="仿宋_GB2312" w:hAnsi="仿宋" w:eastAsia="仿宋_GB2312" w:cs="Arial"/>
          <w:kern w:val="0"/>
          <w:szCs w:val="24"/>
        </w:rPr>
        <w:t>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3"/>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4"/>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4"/>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widowControl/>
        <w:adjustRightInd/>
        <w:jc w:val="left"/>
        <w:rPr>
          <w:rFonts w:ascii="仿宋_GB2312" w:hAnsi="仿宋" w:eastAsia="仿宋_GB2312" w:cs="仿宋_GB2312"/>
          <w:b/>
          <w:sz w:val="36"/>
          <w:szCs w:val="36"/>
        </w:rPr>
      </w:pPr>
      <w:r>
        <w:rPr>
          <w:rFonts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385"/>
        <w:rPr>
          <w:rFonts w:ascii="仿宋" w:hAnsi="仿宋" w:eastAsia="仿宋"/>
          <w:szCs w:val="24"/>
        </w:rPr>
      </w:pPr>
    </w:p>
    <w:p>
      <w:pPr>
        <w:pStyle w:val="385"/>
        <w:rPr>
          <w:rFonts w:ascii="仿宋" w:hAnsi="仿宋" w:eastAsia="仿宋"/>
          <w:szCs w:val="24"/>
        </w:rPr>
      </w:pPr>
    </w:p>
    <w:p>
      <w:pPr>
        <w:pStyle w:val="385"/>
        <w:jc w:val="center"/>
        <w:rPr>
          <w:rFonts w:ascii="仿宋" w:hAnsi="仿宋" w:eastAsia="仿宋"/>
          <w:szCs w:val="24"/>
        </w:rPr>
      </w:pPr>
    </w:p>
    <w:p>
      <w:pPr>
        <w:pStyle w:val="385"/>
        <w:ind w:firstLine="2843" w:firstLineChars="1180"/>
        <w:rPr>
          <w:rFonts w:ascii="仿宋" w:hAnsi="仿宋" w:eastAsia="仿宋"/>
          <w:b/>
          <w:szCs w:val="24"/>
        </w:rPr>
      </w:pPr>
      <w:r>
        <w:rPr>
          <w:rFonts w:hint="eastAsia" w:ascii="仿宋" w:hAnsi="仿宋" w:eastAsia="仿宋"/>
          <w:b/>
          <w:szCs w:val="24"/>
        </w:rPr>
        <w:t>第一部分</w:t>
      </w:r>
      <w:r>
        <w:rPr>
          <w:rFonts w:ascii="仿宋" w:hAnsi="仿宋" w:eastAsia="仿宋"/>
          <w:b/>
          <w:szCs w:val="24"/>
        </w:rPr>
        <w:t xml:space="preserve"> </w:t>
      </w:r>
      <w:r>
        <w:rPr>
          <w:rFonts w:hint="eastAsia" w:ascii="仿宋" w:hAnsi="仿宋" w:eastAsia="仿宋"/>
          <w:b/>
          <w:szCs w:val="24"/>
        </w:rPr>
        <w:t>合同书</w:t>
      </w:r>
    </w:p>
    <w:p>
      <w:pPr>
        <w:pStyle w:val="385"/>
        <w:rPr>
          <w:rFonts w:ascii="仿宋" w:hAnsi="仿宋" w:eastAsia="仿宋"/>
          <w:szCs w:val="24"/>
        </w:rPr>
      </w:pPr>
    </w:p>
    <w:p>
      <w:pPr>
        <w:pStyle w:val="385"/>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282"/>
        <w:spacing w:before="120" w:line="22" w:lineRule="atLeast"/>
        <w:rPr>
          <w:rFonts w:ascii="仿宋" w:hAnsi="仿宋" w:eastAsia="仿宋"/>
          <w:szCs w:val="24"/>
        </w:rPr>
      </w:pPr>
    </w:p>
    <w:p>
      <w:pPr>
        <w:pStyle w:val="282"/>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4" w:name="_Toc2232"/>
      <w:bookmarkStart w:id="395" w:name="_Toc3029"/>
      <w:bookmarkStart w:id="396" w:name="_Toc24059"/>
      <w:r>
        <w:rPr>
          <w:rFonts w:ascii="仿宋" w:hAnsi="仿宋" w:eastAsia="仿宋"/>
          <w:b/>
          <w:sz w:val="24"/>
        </w:rPr>
        <w:t xml:space="preserve">1.1 </w:t>
      </w:r>
      <w:r>
        <w:rPr>
          <w:rFonts w:hint="eastAsia" w:ascii="仿宋" w:hAnsi="仿宋" w:eastAsia="仿宋"/>
          <w:b/>
          <w:sz w:val="24"/>
        </w:rPr>
        <w:t>合同组成部分</w:t>
      </w:r>
      <w:bookmarkEnd w:id="394"/>
      <w:bookmarkEnd w:id="395"/>
      <w:bookmarkEnd w:id="396"/>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ascii="仿宋" w:hAnsi="仿宋" w:eastAsia="仿宋"/>
          <w:b/>
          <w:sz w:val="24"/>
        </w:rPr>
      </w:pPr>
      <w:bookmarkStart w:id="397" w:name="_Toc24300"/>
      <w:bookmarkStart w:id="398" w:name="_Toc27126"/>
      <w:bookmarkStart w:id="399" w:name="_Toc21295"/>
      <w:r>
        <w:rPr>
          <w:rFonts w:ascii="仿宋" w:hAnsi="仿宋" w:eastAsia="仿宋"/>
          <w:b/>
          <w:sz w:val="24"/>
        </w:rPr>
        <w:t xml:space="preserve">1.2 </w:t>
      </w:r>
      <w:r>
        <w:rPr>
          <w:rFonts w:hint="eastAsia" w:ascii="仿宋" w:hAnsi="仿宋" w:eastAsia="仿宋"/>
          <w:b/>
          <w:sz w:val="24"/>
        </w:rPr>
        <w:t>货物</w:t>
      </w:r>
      <w:bookmarkEnd w:id="397"/>
      <w:bookmarkEnd w:id="398"/>
      <w:bookmarkEnd w:id="399"/>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货物名称：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货物数量：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货物质量：</w:t>
      </w:r>
      <w:r>
        <w:rPr>
          <w:rFonts w:hint="eastAsia" w:ascii="仿宋" w:hAnsi="仿宋" w:eastAsia="仿宋"/>
          <w:sz w:val="24"/>
          <w:u w:val="single"/>
        </w:rPr>
        <w:t>　　　　　　　　　</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0" w:name="_Toc21551"/>
      <w:bookmarkStart w:id="401" w:name="_Toc23292"/>
      <w:bookmarkStart w:id="402" w:name="_Toc21631"/>
      <w:r>
        <w:rPr>
          <w:rFonts w:ascii="仿宋" w:hAnsi="仿宋" w:eastAsia="仿宋"/>
          <w:b/>
          <w:sz w:val="24"/>
        </w:rPr>
        <w:t xml:space="preserve">1.3 </w:t>
      </w:r>
      <w:r>
        <w:rPr>
          <w:rFonts w:hint="eastAsia" w:ascii="仿宋" w:hAnsi="仿宋" w:eastAsia="仿宋"/>
          <w:b/>
          <w:sz w:val="24"/>
        </w:rPr>
        <w:t>价款</w:t>
      </w:r>
      <w:bookmarkEnd w:id="400"/>
      <w:bookmarkEnd w:id="401"/>
      <w:bookmarkEnd w:id="402"/>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3" w:name="_Toc22618"/>
      <w:bookmarkStart w:id="404" w:name="_Toc1814"/>
      <w:bookmarkStart w:id="405" w:name="_Toc10340"/>
      <w:r>
        <w:rPr>
          <w:rFonts w:ascii="仿宋" w:hAnsi="仿宋" w:eastAsia="仿宋"/>
          <w:b/>
          <w:sz w:val="24"/>
        </w:rPr>
        <w:t xml:space="preserve">1.4 </w:t>
      </w:r>
      <w:r>
        <w:rPr>
          <w:rFonts w:hint="eastAsia" w:ascii="仿宋" w:hAnsi="仿宋" w:eastAsia="仿宋"/>
          <w:b/>
          <w:sz w:val="24"/>
        </w:rPr>
        <w:t>付款</w:t>
      </w:r>
      <w:bookmarkEnd w:id="403"/>
      <w:bookmarkEnd w:id="404"/>
      <w:bookmarkEnd w:id="405"/>
      <w:r>
        <w:rPr>
          <w:rFonts w:hint="eastAsia" w:ascii="仿宋" w:hAnsi="仿宋" w:eastAsia="仿宋"/>
          <w:b/>
          <w:sz w:val="24"/>
        </w:rPr>
        <w:t>方式、时间和条件</w:t>
      </w:r>
    </w:p>
    <w:p>
      <w:pPr>
        <w:pStyle w:val="617"/>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pStyle w:val="617"/>
        <w:spacing w:before="0" w:beforeAutospacing="0" w:after="0" w:afterAutospacing="0" w:line="360" w:lineRule="auto"/>
        <w:ind w:firstLine="480"/>
        <w:rPr>
          <w:rFonts w:ascii="仿宋" w:hAnsi="仿宋" w:eastAsia="仿宋" w:cs="Times New Roman"/>
        </w:rPr>
      </w:pPr>
      <w:r>
        <w:rPr>
          <w:rFonts w:hint="eastAsia" w:ascii="仿宋" w:hAnsi="仿宋" w:eastAsia="仿宋" w:cs="Times New Roman"/>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pStyle w:val="617"/>
        <w:spacing w:before="0" w:beforeAutospacing="0" w:after="0" w:afterAutospacing="0" w:line="360" w:lineRule="auto"/>
        <w:ind w:firstLine="480"/>
        <w:rPr>
          <w:rFonts w:ascii="仿宋" w:hAnsi="仿宋" w:eastAsia="仿宋" w:cs="Times New Roman"/>
        </w:rPr>
      </w:pPr>
      <w:r>
        <w:rPr>
          <w:rFonts w:ascii="仿宋" w:hAnsi="仿宋" w:eastAsia="仿宋" w:cs="Times New Roman"/>
        </w:rPr>
        <w:t>1.4.3</w:t>
      </w:r>
      <w:r>
        <w:rPr>
          <w:rFonts w:hint="eastAsia" w:ascii="仿宋" w:hAnsi="仿宋" w:eastAsia="仿宋" w:cs="Times New Roman"/>
        </w:rPr>
        <w:t>甲方迟延支付乙方款项的，向乙方支付逾期利息。双方可以在合同专用条款中约定逾期利率，约定利率不得低于合同订立时</w:t>
      </w:r>
      <w:r>
        <w:rPr>
          <w:rFonts w:ascii="仿宋" w:hAnsi="仿宋" w:eastAsia="仿宋" w:cs="Times New Roman"/>
        </w:rPr>
        <w:t>1年</w:t>
      </w:r>
      <w:r>
        <w:rPr>
          <w:rFonts w:hint="eastAsia" w:ascii="仿宋" w:hAnsi="仿宋" w:eastAsia="仿宋" w:cs="Times New Roman"/>
        </w:rPr>
        <w:t>期贷款市场报价利率；未作约定的，按照每日利率万分之五支付逾期利息。</w:t>
      </w:r>
    </w:p>
    <w:p>
      <w:pPr>
        <w:pStyle w:val="617"/>
        <w:spacing w:before="0" w:beforeAutospacing="0" w:after="0" w:afterAutospacing="0" w:line="360" w:lineRule="auto"/>
        <w:ind w:firstLine="480"/>
        <w:rPr>
          <w:rFonts w:ascii="仿宋" w:hAnsi="仿宋" w:eastAsia="仿宋" w:cs="Times New Roman"/>
        </w:rPr>
      </w:pPr>
      <w:r>
        <w:rPr>
          <w:rFonts w:ascii="仿宋" w:hAnsi="仿宋" w:eastAsia="仿宋"/>
        </w:rPr>
        <w:t>1.4.4资金支付的方式、时间和条件详见</w:t>
      </w:r>
      <w:r>
        <w:rPr>
          <w:rFonts w:hint="eastAsia" w:ascii="仿宋" w:hAnsi="仿宋" w:eastAsia="仿宋"/>
          <w:b/>
          <w:i/>
          <w:u w:val="single"/>
        </w:rPr>
        <w:t>合同专用条款</w:t>
      </w:r>
      <w:r>
        <w:rPr>
          <w:rFonts w:hint="eastAsia" w:ascii="仿宋" w:hAnsi="仿宋" w:eastAsia="仿宋"/>
        </w:rPr>
        <w:t>。</w:t>
      </w:r>
    </w:p>
    <w:p>
      <w:pPr>
        <w:spacing w:line="560" w:lineRule="exact"/>
        <w:ind w:firstLine="482" w:firstLineChars="200"/>
        <w:outlineLvl w:val="0"/>
        <w:rPr>
          <w:rFonts w:ascii="仿宋" w:hAnsi="仿宋" w:eastAsia="仿宋"/>
          <w:b/>
          <w:sz w:val="24"/>
        </w:rPr>
      </w:pPr>
      <w:bookmarkStart w:id="406" w:name="_Toc2846"/>
      <w:bookmarkStart w:id="407" w:name="_Toc19304"/>
      <w:bookmarkStart w:id="408" w:name="_Toc32071"/>
      <w:r>
        <w:rPr>
          <w:rFonts w:ascii="仿宋" w:hAnsi="仿宋" w:eastAsia="仿宋"/>
          <w:b/>
          <w:sz w:val="24"/>
        </w:rPr>
        <w:t xml:space="preserve">1.5 </w:t>
      </w:r>
      <w:r>
        <w:rPr>
          <w:rFonts w:hint="eastAsia" w:ascii="仿宋" w:hAnsi="仿宋" w:eastAsia="仿宋"/>
          <w:b/>
          <w:sz w:val="24"/>
        </w:rPr>
        <w:t>货物交付期限、地点和方式</w:t>
      </w:r>
      <w:bookmarkEnd w:id="406"/>
      <w:bookmarkEnd w:id="407"/>
      <w:bookmarkEnd w:id="408"/>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9" w:name="_Toc27250"/>
      <w:bookmarkStart w:id="410" w:name="_Toc19554"/>
      <w:bookmarkStart w:id="411" w:name="_Toc21423"/>
      <w:r>
        <w:rPr>
          <w:rFonts w:ascii="仿宋" w:hAnsi="仿宋" w:eastAsia="仿宋"/>
          <w:b/>
          <w:sz w:val="24"/>
        </w:rPr>
        <w:t xml:space="preserve">1.6 </w:t>
      </w:r>
      <w:r>
        <w:rPr>
          <w:rFonts w:hint="eastAsia" w:ascii="仿宋" w:hAnsi="仿宋" w:eastAsia="仿宋"/>
          <w:b/>
          <w:sz w:val="24"/>
        </w:rPr>
        <w:t>违约责任</w:t>
      </w:r>
      <w:bookmarkEnd w:id="409"/>
      <w:bookmarkEnd w:id="410"/>
      <w:bookmarkEnd w:id="411"/>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2" w:name="_Toc28375"/>
      <w:bookmarkStart w:id="413" w:name="_Toc15583"/>
      <w:bookmarkStart w:id="414" w:name="_Toc16021"/>
      <w:r>
        <w:rPr>
          <w:rFonts w:ascii="仿宋" w:hAnsi="仿宋" w:eastAsia="仿宋"/>
          <w:b/>
          <w:sz w:val="24"/>
        </w:rPr>
        <w:t xml:space="preserve">1.7 </w:t>
      </w:r>
      <w:r>
        <w:rPr>
          <w:rFonts w:hint="eastAsia" w:ascii="仿宋" w:hAnsi="仿宋" w:eastAsia="仿宋"/>
          <w:b/>
          <w:sz w:val="24"/>
        </w:rPr>
        <w:t>合同争议的解决</w:t>
      </w:r>
      <w:bookmarkEnd w:id="412"/>
      <w:bookmarkEnd w:id="413"/>
      <w:bookmarkEnd w:id="414"/>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15" w:name="_Toc15322"/>
      <w:bookmarkStart w:id="416" w:name="_Toc7245"/>
      <w:bookmarkStart w:id="417" w:name="_Toc11173"/>
      <w:r>
        <w:rPr>
          <w:rFonts w:ascii="仿宋" w:hAnsi="仿宋" w:eastAsia="仿宋"/>
          <w:b/>
          <w:sz w:val="24"/>
        </w:rPr>
        <w:t xml:space="preserve">1.8 </w:t>
      </w:r>
      <w:r>
        <w:rPr>
          <w:rFonts w:hint="eastAsia" w:ascii="仿宋" w:hAnsi="仿宋" w:eastAsia="仿宋"/>
          <w:b/>
          <w:sz w:val="24"/>
        </w:rPr>
        <w:t>合同生效</w:t>
      </w:r>
      <w:bookmarkEnd w:id="415"/>
      <w:bookmarkEnd w:id="416"/>
      <w:bookmarkEnd w:id="417"/>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widowControl/>
        <w:spacing w:line="560" w:lineRule="exact"/>
        <w:jc w:val="left"/>
        <w:rPr>
          <w:rFonts w:ascii="仿宋" w:hAnsi="仿宋" w:eastAsia="仿宋"/>
          <w:b/>
          <w:sz w:val="24"/>
        </w:rPr>
      </w:pPr>
      <w:bookmarkStart w:id="418" w:name="_Toc331685783"/>
    </w:p>
    <w:p>
      <w:pPr>
        <w:pStyle w:val="385"/>
        <w:spacing w:line="560" w:lineRule="exact"/>
        <w:ind w:firstLine="482"/>
        <w:jc w:val="center"/>
        <w:rPr>
          <w:rFonts w:ascii="仿宋" w:hAnsi="仿宋" w:eastAsia="仿宋"/>
          <w:b/>
          <w:szCs w:val="24"/>
        </w:rPr>
      </w:pPr>
      <w:r>
        <w:rPr>
          <w:rFonts w:hint="eastAsia" w:ascii="仿宋" w:hAnsi="仿宋" w:eastAsia="仿宋"/>
          <w:b/>
          <w:szCs w:val="24"/>
        </w:rPr>
        <w:t>第二部分</w:t>
      </w:r>
      <w:r>
        <w:rPr>
          <w:rFonts w:ascii="仿宋" w:hAnsi="仿宋" w:eastAsia="仿宋"/>
          <w:b/>
          <w:szCs w:val="24"/>
        </w:rPr>
        <w:t xml:space="preserve"> </w:t>
      </w:r>
      <w:r>
        <w:rPr>
          <w:rFonts w:hint="eastAsia" w:ascii="仿宋" w:hAnsi="仿宋" w:eastAsia="仿宋"/>
          <w:b/>
          <w:szCs w:val="24"/>
        </w:rPr>
        <w:t>合同一般条款</w:t>
      </w:r>
      <w:bookmarkEnd w:id="418"/>
    </w:p>
    <w:p>
      <w:pPr>
        <w:spacing w:line="560" w:lineRule="exact"/>
        <w:ind w:firstLine="482" w:firstLineChars="200"/>
        <w:outlineLvl w:val="0"/>
        <w:rPr>
          <w:rFonts w:ascii="仿宋" w:hAnsi="仿宋" w:eastAsia="仿宋"/>
          <w:b/>
          <w:sz w:val="24"/>
        </w:rPr>
      </w:pPr>
      <w:bookmarkStart w:id="419" w:name="_Ref467378463"/>
      <w:bookmarkStart w:id="420" w:name="_Toc16917"/>
      <w:bookmarkStart w:id="421" w:name="_Toc259093669"/>
      <w:bookmarkStart w:id="422" w:name="_Ref467378499"/>
      <w:bookmarkStart w:id="423" w:name="_Ref467378404"/>
      <w:bookmarkStart w:id="424" w:name="_Ref467379109"/>
      <w:bookmarkStart w:id="425" w:name="_Toc487900349"/>
      <w:bookmarkStart w:id="426" w:name="_Ref467379101"/>
      <w:bookmarkStart w:id="427" w:name="_Ref467379205"/>
      <w:bookmarkStart w:id="428" w:name="_Toc19614"/>
      <w:bookmarkStart w:id="429" w:name="_Toc28763"/>
      <w:bookmarkStart w:id="430" w:name="_Ref467379214"/>
      <w:bookmarkStart w:id="431" w:name="_Ref467379094"/>
      <w:bookmarkStart w:id="432" w:name="_Toc279701240"/>
      <w:bookmarkStart w:id="433" w:name="_Ref467379225"/>
      <w:bookmarkStart w:id="434" w:name="_Ref467379195"/>
      <w:r>
        <w:rPr>
          <w:rFonts w:ascii="仿宋" w:hAnsi="仿宋" w:eastAsia="仿宋"/>
          <w:b/>
          <w:sz w:val="24"/>
        </w:rPr>
        <w:t xml:space="preserve">2.1 </w:t>
      </w:r>
      <w:r>
        <w:rPr>
          <w:rFonts w:hint="eastAsia" w:ascii="仿宋" w:hAnsi="仿宋" w:eastAsia="仿宋"/>
          <w:b/>
          <w:sz w:val="24"/>
        </w:rPr>
        <w:t>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35"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435"/>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36"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436"/>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37"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437"/>
    </w:p>
    <w:p>
      <w:pPr>
        <w:spacing w:line="560" w:lineRule="exact"/>
        <w:ind w:firstLine="482" w:firstLineChars="200"/>
        <w:outlineLvl w:val="0"/>
        <w:rPr>
          <w:rFonts w:ascii="仿宋" w:hAnsi="仿宋" w:eastAsia="仿宋"/>
          <w:b/>
          <w:sz w:val="24"/>
        </w:rPr>
      </w:pPr>
      <w:bookmarkStart w:id="438" w:name="_Toc32504"/>
      <w:bookmarkStart w:id="439" w:name="_Toc487900350"/>
      <w:bookmarkStart w:id="440" w:name="_Toc279701241"/>
      <w:bookmarkStart w:id="441" w:name="_Toc259093670"/>
      <w:bookmarkStart w:id="442" w:name="_Toc27635"/>
      <w:bookmarkStart w:id="443" w:name="_Toc13336"/>
      <w:r>
        <w:rPr>
          <w:rFonts w:ascii="仿宋" w:hAnsi="仿宋" w:eastAsia="仿宋"/>
          <w:b/>
          <w:sz w:val="24"/>
        </w:rPr>
        <w:t xml:space="preserve">2.2 </w:t>
      </w:r>
      <w:r>
        <w:rPr>
          <w:rFonts w:hint="eastAsia" w:ascii="仿宋" w:hAnsi="仿宋" w:eastAsia="仿宋"/>
          <w:b/>
          <w:sz w:val="24"/>
        </w:rPr>
        <w:t>技术规范</w:t>
      </w:r>
      <w:bookmarkEnd w:id="438"/>
      <w:bookmarkEnd w:id="439"/>
      <w:bookmarkEnd w:id="440"/>
      <w:bookmarkEnd w:id="441"/>
      <w:bookmarkEnd w:id="442"/>
      <w:bookmarkEnd w:id="443"/>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44" w:name="_Toc259093671"/>
      <w:bookmarkStart w:id="445" w:name="_Toc9829"/>
      <w:bookmarkStart w:id="446" w:name="_Toc279701242"/>
      <w:bookmarkStart w:id="447" w:name="_Toc31634"/>
      <w:bookmarkStart w:id="448" w:name="_Toc27853"/>
      <w:bookmarkStart w:id="449" w:name="_Toc487900351"/>
      <w:r>
        <w:rPr>
          <w:rFonts w:ascii="仿宋" w:hAnsi="仿宋" w:eastAsia="仿宋"/>
          <w:b/>
          <w:sz w:val="24"/>
        </w:rPr>
        <w:t xml:space="preserve">2.3 </w:t>
      </w:r>
      <w:r>
        <w:rPr>
          <w:rFonts w:hint="eastAsia" w:ascii="仿宋" w:hAnsi="仿宋" w:eastAsia="仿宋"/>
          <w:b/>
          <w:sz w:val="24"/>
        </w:rPr>
        <w:t>知识产权</w:t>
      </w:r>
      <w:bookmarkEnd w:id="444"/>
      <w:bookmarkEnd w:id="445"/>
      <w:bookmarkEnd w:id="446"/>
      <w:bookmarkEnd w:id="447"/>
      <w:bookmarkEnd w:id="448"/>
      <w:bookmarkEnd w:id="449"/>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0" w:name="_Toc11932"/>
      <w:bookmarkStart w:id="451" w:name="_Toc4194"/>
      <w:bookmarkStart w:id="452" w:name="_Toc29149"/>
      <w:r>
        <w:rPr>
          <w:rFonts w:ascii="仿宋" w:hAnsi="仿宋" w:eastAsia="仿宋"/>
          <w:b/>
          <w:sz w:val="24"/>
        </w:rPr>
        <w:t xml:space="preserve">2.4 </w:t>
      </w:r>
      <w:r>
        <w:rPr>
          <w:rFonts w:hint="eastAsia" w:ascii="仿宋" w:hAnsi="仿宋" w:eastAsia="仿宋"/>
          <w:b/>
          <w:sz w:val="24"/>
        </w:rPr>
        <w:t>包装和装运</w:t>
      </w:r>
      <w:bookmarkEnd w:id="450"/>
      <w:bookmarkEnd w:id="451"/>
      <w:bookmarkEnd w:id="452"/>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3" w:name="_Ref467378591"/>
      <w:bookmarkStart w:id="454" w:name="_Ref467378541"/>
      <w:bookmarkStart w:id="455" w:name="_Ref467379542"/>
      <w:bookmarkStart w:id="456" w:name="_Toc279701245"/>
      <w:bookmarkStart w:id="457" w:name="_Toc487900354"/>
      <w:bookmarkStart w:id="458" w:name="_Toc259093674"/>
      <w:bookmarkStart w:id="459" w:name="_Ref467379536"/>
      <w:bookmarkStart w:id="460" w:name="_Ref467379527"/>
      <w:bookmarkStart w:id="461" w:name="_Toc19074"/>
      <w:bookmarkStart w:id="462" w:name="_Toc26182"/>
      <w:bookmarkStart w:id="463" w:name="_Toc30272"/>
      <w:r>
        <w:rPr>
          <w:rFonts w:ascii="仿宋" w:hAnsi="仿宋" w:eastAsia="仿宋"/>
          <w:b/>
          <w:sz w:val="24"/>
        </w:rPr>
        <w:t>2.</w:t>
      </w:r>
      <w:bookmarkEnd w:id="453"/>
      <w:bookmarkEnd w:id="454"/>
      <w:bookmarkEnd w:id="455"/>
      <w:bookmarkEnd w:id="456"/>
      <w:bookmarkEnd w:id="457"/>
      <w:bookmarkEnd w:id="458"/>
      <w:bookmarkEnd w:id="459"/>
      <w:bookmarkEnd w:id="460"/>
      <w:r>
        <w:rPr>
          <w:rFonts w:ascii="仿宋" w:hAnsi="仿宋" w:eastAsia="仿宋"/>
          <w:b/>
          <w:sz w:val="24"/>
        </w:rPr>
        <w:t xml:space="preserve">5 </w:t>
      </w:r>
      <w:r>
        <w:rPr>
          <w:rFonts w:hint="eastAsia" w:ascii="仿宋" w:hAnsi="仿宋" w:eastAsia="仿宋"/>
          <w:b/>
          <w:sz w:val="24"/>
        </w:rPr>
        <w:t>履约检查和问题反馈</w:t>
      </w:r>
      <w:bookmarkEnd w:id="461"/>
      <w:bookmarkEnd w:id="462"/>
      <w:bookmarkEnd w:id="463"/>
    </w:p>
    <w:p>
      <w:pPr>
        <w:spacing w:line="560" w:lineRule="exact"/>
        <w:ind w:firstLine="480" w:firstLineChars="200"/>
        <w:rPr>
          <w:rFonts w:ascii="仿宋" w:hAnsi="仿宋" w:eastAsia="仿宋"/>
          <w:sz w:val="24"/>
        </w:rPr>
      </w:pPr>
      <w:bookmarkStart w:id="464" w:name="_Ref467379657"/>
      <w:r>
        <w:rPr>
          <w:rFonts w:ascii="仿宋" w:hAnsi="仿宋" w:eastAsia="仿宋"/>
          <w:sz w:val="24"/>
        </w:rPr>
        <w:t>2.5.1</w:t>
      </w:r>
      <w:bookmarkEnd w:id="464"/>
      <w:bookmarkStart w:id="465" w:name="_Toc186431854"/>
      <w:bookmarkStart w:id="466" w:name="_Toc487900357"/>
      <w:bookmarkStart w:id="467" w:name="_Toc259093676"/>
      <w:bookmarkStart w:id="468" w:name="_Ref467379807"/>
      <w:bookmarkStart w:id="469" w:name="_Toc279701247"/>
      <w:bookmarkStart w:id="470" w:name="_Ref467379793"/>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sz w:val="24"/>
        </w:rPr>
        <w:t>。</w:t>
      </w:r>
    </w:p>
    <w:bookmarkEnd w:id="466"/>
    <w:bookmarkEnd w:id="467"/>
    <w:bookmarkEnd w:id="468"/>
    <w:bookmarkEnd w:id="469"/>
    <w:bookmarkEnd w:id="470"/>
    <w:bookmarkEnd w:id="471"/>
    <w:p>
      <w:pPr>
        <w:spacing w:line="560" w:lineRule="exact"/>
        <w:ind w:firstLine="482" w:firstLineChars="200"/>
        <w:outlineLvl w:val="0"/>
        <w:rPr>
          <w:rFonts w:ascii="仿宋" w:hAnsi="仿宋" w:eastAsia="仿宋"/>
          <w:b/>
          <w:sz w:val="24"/>
        </w:rPr>
      </w:pPr>
      <w:bookmarkStart w:id="472" w:name="_Ref467379863"/>
      <w:bookmarkStart w:id="473" w:name="_Ref467379923"/>
      <w:bookmarkStart w:id="474" w:name="_Toc279701248"/>
      <w:bookmarkStart w:id="475" w:name="_Toc487900358"/>
      <w:bookmarkStart w:id="476" w:name="_Toc259093677"/>
      <w:bookmarkStart w:id="477" w:name="_Ref467379852"/>
      <w:bookmarkStart w:id="478" w:name="_Toc3225"/>
      <w:bookmarkStart w:id="479" w:name="_Toc16110"/>
      <w:bookmarkStart w:id="480" w:name="_Toc774"/>
      <w:r>
        <w:rPr>
          <w:rFonts w:ascii="仿宋" w:hAnsi="仿宋" w:eastAsia="仿宋"/>
          <w:b/>
          <w:sz w:val="24"/>
        </w:rPr>
        <w:t xml:space="preserve">2.6 </w:t>
      </w:r>
      <w:r>
        <w:rPr>
          <w:rFonts w:hint="eastAsia" w:ascii="仿宋" w:hAnsi="仿宋" w:eastAsia="仿宋"/>
          <w:b/>
          <w:sz w:val="24"/>
        </w:rPr>
        <w:t>技术资料</w:t>
      </w:r>
      <w:bookmarkEnd w:id="472"/>
      <w:bookmarkEnd w:id="473"/>
      <w:bookmarkEnd w:id="474"/>
      <w:bookmarkEnd w:id="475"/>
      <w:bookmarkEnd w:id="476"/>
      <w:bookmarkEnd w:id="477"/>
      <w:r>
        <w:rPr>
          <w:rFonts w:hint="eastAsia" w:ascii="仿宋" w:hAnsi="仿宋" w:eastAsia="仿宋"/>
          <w:b/>
          <w:sz w:val="24"/>
        </w:rPr>
        <w:t>和保密义务</w:t>
      </w:r>
      <w:bookmarkEnd w:id="478"/>
      <w:bookmarkEnd w:id="479"/>
      <w:bookmarkEnd w:id="480"/>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481" w:name="_Toc7860"/>
      <w:r>
        <w:rPr>
          <w:rFonts w:ascii="仿宋" w:hAnsi="仿宋" w:eastAsia="仿宋"/>
          <w:b/>
          <w:sz w:val="24"/>
        </w:rPr>
        <w:t xml:space="preserve">2.7 </w:t>
      </w:r>
      <w:r>
        <w:rPr>
          <w:rFonts w:hint="eastAsia" w:ascii="仿宋" w:hAnsi="仿宋" w:eastAsia="仿宋"/>
          <w:b/>
          <w:sz w:val="24"/>
        </w:rPr>
        <w:t>质量保证</w:t>
      </w:r>
      <w:bookmarkEnd w:id="481"/>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482" w:name="_Toc17244"/>
      <w:bookmarkStart w:id="483" w:name="_Toc259093681"/>
      <w:bookmarkStart w:id="484" w:name="_Toc279701252"/>
      <w:bookmarkStart w:id="485" w:name="_Toc487900362"/>
      <w:r>
        <w:rPr>
          <w:rFonts w:ascii="仿宋" w:hAnsi="仿宋" w:eastAsia="仿宋"/>
          <w:b/>
          <w:sz w:val="24"/>
        </w:rPr>
        <w:t xml:space="preserve">2.8 </w:t>
      </w:r>
      <w:r>
        <w:rPr>
          <w:rFonts w:hint="eastAsia" w:ascii="仿宋" w:hAnsi="仿宋" w:eastAsia="仿宋"/>
          <w:b/>
          <w:sz w:val="24"/>
        </w:rPr>
        <w:t>货物的风险负担</w:t>
      </w:r>
      <w:bookmarkEnd w:id="482"/>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86" w:name="_Toc14055"/>
      <w:r>
        <w:rPr>
          <w:rFonts w:ascii="仿宋" w:hAnsi="仿宋" w:eastAsia="仿宋"/>
          <w:b/>
          <w:sz w:val="24"/>
        </w:rPr>
        <w:t xml:space="preserve">2.9 </w:t>
      </w:r>
      <w:r>
        <w:rPr>
          <w:rFonts w:hint="eastAsia" w:ascii="仿宋" w:hAnsi="仿宋" w:eastAsia="仿宋"/>
          <w:b/>
          <w:sz w:val="24"/>
        </w:rPr>
        <w:t>延迟交货</w:t>
      </w:r>
      <w:bookmarkEnd w:id="483"/>
      <w:bookmarkEnd w:id="484"/>
      <w:bookmarkEnd w:id="485"/>
      <w:bookmarkEnd w:id="486"/>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487" w:name="_Toc7502"/>
      <w:bookmarkStart w:id="488" w:name="_Toc487900364"/>
      <w:bookmarkStart w:id="489" w:name="_Toc279701254"/>
      <w:bookmarkStart w:id="490" w:name="_Ref467378121"/>
      <w:bookmarkStart w:id="491" w:name="_Toc259093683"/>
      <w:r>
        <w:rPr>
          <w:rFonts w:ascii="仿宋" w:hAnsi="仿宋" w:eastAsia="仿宋"/>
          <w:b/>
          <w:sz w:val="24"/>
        </w:rPr>
        <w:t xml:space="preserve">2.10 </w:t>
      </w:r>
      <w:r>
        <w:rPr>
          <w:rFonts w:hint="eastAsia" w:ascii="仿宋" w:hAnsi="仿宋" w:eastAsia="仿宋"/>
          <w:b/>
          <w:sz w:val="24"/>
        </w:rPr>
        <w:t>合同变更</w:t>
      </w:r>
      <w:bookmarkEnd w:id="487"/>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492" w:name="_Toc487900369"/>
      <w:bookmarkStart w:id="493" w:name="_Toc279701259"/>
      <w:bookmarkStart w:id="494" w:name="_Toc259093688"/>
    </w:p>
    <w:p>
      <w:pPr>
        <w:spacing w:line="560" w:lineRule="exact"/>
        <w:ind w:firstLine="482" w:firstLineChars="200"/>
        <w:outlineLvl w:val="0"/>
        <w:rPr>
          <w:rFonts w:ascii="仿宋" w:hAnsi="仿宋" w:eastAsia="仿宋"/>
          <w:b/>
          <w:sz w:val="24"/>
        </w:rPr>
      </w:pPr>
      <w:bookmarkStart w:id="495" w:name="_Toc22955"/>
      <w:bookmarkStart w:id="496" w:name="_Toc15237"/>
      <w:bookmarkStart w:id="497" w:name="_Toc10366"/>
      <w:r>
        <w:rPr>
          <w:rFonts w:ascii="仿宋" w:hAnsi="仿宋" w:eastAsia="仿宋"/>
          <w:b/>
          <w:sz w:val="24"/>
        </w:rPr>
        <w:t xml:space="preserve">2.11 </w:t>
      </w:r>
      <w:r>
        <w:rPr>
          <w:rFonts w:hint="eastAsia" w:ascii="仿宋" w:hAnsi="仿宋" w:eastAsia="仿宋"/>
          <w:b/>
          <w:sz w:val="24"/>
        </w:rPr>
        <w:t>合同转让</w:t>
      </w:r>
      <w:bookmarkEnd w:id="492"/>
      <w:bookmarkEnd w:id="493"/>
      <w:bookmarkEnd w:id="494"/>
      <w:r>
        <w:rPr>
          <w:rFonts w:hint="eastAsia" w:ascii="仿宋" w:hAnsi="仿宋" w:eastAsia="仿宋"/>
          <w:b/>
          <w:sz w:val="24"/>
        </w:rPr>
        <w:t>和分包</w:t>
      </w:r>
      <w:bookmarkEnd w:id="495"/>
      <w:bookmarkEnd w:id="496"/>
      <w:bookmarkEnd w:id="497"/>
    </w:p>
    <w:p>
      <w:pPr>
        <w:spacing w:line="560" w:lineRule="exact"/>
        <w:ind w:firstLine="480" w:firstLineChars="200"/>
        <w:rPr>
          <w:rFonts w:ascii="仿宋" w:hAnsi="仿宋" w:eastAsia="仿宋"/>
          <w:sz w:val="24"/>
        </w:rPr>
      </w:pPr>
      <w:r>
        <w:rPr>
          <w:rFonts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498" w:name="_Toc16508"/>
      <w:bookmarkStart w:id="499" w:name="_Toc14066"/>
      <w:bookmarkStart w:id="500" w:name="_Toc13566"/>
      <w:r>
        <w:rPr>
          <w:rFonts w:ascii="仿宋" w:hAnsi="仿宋" w:eastAsia="仿宋"/>
          <w:b/>
          <w:sz w:val="24"/>
        </w:rPr>
        <w:t xml:space="preserve">2.12 </w:t>
      </w:r>
      <w:r>
        <w:rPr>
          <w:rFonts w:hint="eastAsia" w:ascii="仿宋" w:hAnsi="仿宋" w:eastAsia="仿宋"/>
          <w:b/>
          <w:sz w:val="24"/>
        </w:rPr>
        <w:t>不可抗力</w:t>
      </w:r>
      <w:bookmarkEnd w:id="498"/>
      <w:bookmarkEnd w:id="499"/>
      <w:bookmarkEnd w:id="500"/>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501" w:name="_Toc30676"/>
      <w:bookmarkStart w:id="502" w:name="_Toc259093684"/>
      <w:bookmarkStart w:id="503" w:name="_Toc689"/>
      <w:bookmarkStart w:id="504" w:name="_Toc6969"/>
      <w:bookmarkStart w:id="505" w:name="_Toc487900365"/>
      <w:bookmarkStart w:id="506" w:name="_Toc279701255"/>
      <w:r>
        <w:rPr>
          <w:rFonts w:ascii="仿宋" w:hAnsi="仿宋" w:eastAsia="仿宋"/>
          <w:b/>
          <w:sz w:val="24"/>
        </w:rPr>
        <w:t xml:space="preserve">2.13 </w:t>
      </w:r>
      <w:r>
        <w:rPr>
          <w:rFonts w:hint="eastAsia" w:ascii="仿宋" w:hAnsi="仿宋" w:eastAsia="仿宋"/>
          <w:b/>
          <w:sz w:val="24"/>
        </w:rPr>
        <w:t>税费</w:t>
      </w:r>
      <w:bookmarkEnd w:id="501"/>
      <w:bookmarkEnd w:id="502"/>
      <w:bookmarkEnd w:id="503"/>
      <w:bookmarkEnd w:id="504"/>
      <w:bookmarkEnd w:id="505"/>
      <w:bookmarkEnd w:id="506"/>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507" w:name="_Toc487900368"/>
      <w:bookmarkStart w:id="508" w:name="_Toc259093687"/>
      <w:bookmarkStart w:id="509" w:name="_Toc8298"/>
      <w:bookmarkStart w:id="510" w:name="_Toc16959"/>
      <w:bookmarkStart w:id="511" w:name="_Toc279701258"/>
      <w:bookmarkStart w:id="512" w:name="_Toc7102"/>
      <w:r>
        <w:rPr>
          <w:rFonts w:ascii="仿宋" w:hAnsi="仿宋" w:eastAsia="仿宋"/>
          <w:b/>
          <w:sz w:val="24"/>
        </w:rPr>
        <w:t>2.14乙方破产</w:t>
      </w:r>
      <w:bookmarkEnd w:id="507"/>
      <w:bookmarkEnd w:id="508"/>
      <w:bookmarkEnd w:id="509"/>
      <w:bookmarkEnd w:id="510"/>
      <w:bookmarkEnd w:id="511"/>
      <w:bookmarkEnd w:id="512"/>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13" w:name="_Toc15387"/>
      <w:bookmarkStart w:id="514" w:name="_Toc29333"/>
      <w:bookmarkStart w:id="515" w:name="_Toc6134"/>
      <w:r>
        <w:rPr>
          <w:rFonts w:ascii="仿宋" w:hAnsi="仿宋" w:eastAsia="仿宋"/>
          <w:b/>
          <w:sz w:val="24"/>
        </w:rPr>
        <w:t xml:space="preserve">2.15 </w:t>
      </w:r>
      <w:r>
        <w:rPr>
          <w:rFonts w:hint="eastAsia" w:ascii="仿宋" w:hAnsi="仿宋" w:eastAsia="仿宋"/>
          <w:b/>
          <w:sz w:val="24"/>
        </w:rPr>
        <w:t>合同中止、终止</w:t>
      </w:r>
      <w:bookmarkEnd w:id="513"/>
      <w:bookmarkEnd w:id="514"/>
      <w:bookmarkEnd w:id="515"/>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16" w:name="_Toc6596"/>
      <w:bookmarkStart w:id="517" w:name="_Toc14563"/>
      <w:bookmarkStart w:id="518" w:name="_Toc1125"/>
      <w:r>
        <w:rPr>
          <w:rFonts w:ascii="仿宋" w:hAnsi="仿宋" w:eastAsia="仿宋"/>
          <w:b/>
          <w:sz w:val="24"/>
        </w:rPr>
        <w:t>2.16检验和验收</w:t>
      </w:r>
      <w:bookmarkEnd w:id="516"/>
      <w:bookmarkEnd w:id="517"/>
      <w:bookmarkEnd w:id="518"/>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488"/>
    <w:bookmarkEnd w:id="489"/>
    <w:bookmarkEnd w:id="490"/>
    <w:bookmarkEnd w:id="491"/>
    <w:p>
      <w:pPr>
        <w:spacing w:line="560" w:lineRule="exact"/>
        <w:ind w:firstLine="482" w:firstLineChars="200"/>
        <w:outlineLvl w:val="0"/>
        <w:rPr>
          <w:rFonts w:ascii="仿宋" w:hAnsi="仿宋" w:eastAsia="仿宋"/>
          <w:b/>
          <w:sz w:val="24"/>
        </w:rPr>
      </w:pPr>
      <w:bookmarkStart w:id="519" w:name="_Toc279701261"/>
      <w:bookmarkStart w:id="520" w:name="_Toc259093690"/>
      <w:bookmarkStart w:id="521" w:name="_Toc487900371"/>
      <w:bookmarkStart w:id="522" w:name="_Toc19604"/>
      <w:bookmarkStart w:id="523" w:name="_Toc25182"/>
      <w:bookmarkStart w:id="524" w:name="_Toc11284"/>
      <w:r>
        <w:rPr>
          <w:rFonts w:ascii="仿宋" w:hAnsi="仿宋" w:eastAsia="仿宋"/>
          <w:b/>
          <w:sz w:val="24"/>
        </w:rPr>
        <w:t xml:space="preserve">2.17 </w:t>
      </w:r>
      <w:r>
        <w:rPr>
          <w:rFonts w:hint="eastAsia" w:ascii="仿宋" w:hAnsi="仿宋" w:eastAsia="仿宋"/>
          <w:b/>
          <w:sz w:val="24"/>
        </w:rPr>
        <w:t>通知</w:t>
      </w:r>
      <w:bookmarkEnd w:id="519"/>
      <w:bookmarkEnd w:id="520"/>
      <w:bookmarkEnd w:id="521"/>
      <w:r>
        <w:rPr>
          <w:rFonts w:hint="eastAsia" w:ascii="仿宋" w:hAnsi="仿宋" w:eastAsia="仿宋"/>
          <w:b/>
          <w:sz w:val="24"/>
        </w:rPr>
        <w:t>和送达</w:t>
      </w:r>
      <w:bookmarkEnd w:id="522"/>
      <w:bookmarkEnd w:id="523"/>
      <w:bookmarkEnd w:id="524"/>
    </w:p>
    <w:p>
      <w:pPr>
        <w:spacing w:line="560" w:lineRule="exact"/>
        <w:ind w:firstLine="480" w:firstLineChars="200"/>
        <w:rPr>
          <w:rFonts w:ascii="仿宋" w:hAnsi="仿宋" w:eastAsia="仿宋"/>
          <w:sz w:val="24"/>
        </w:rPr>
      </w:pPr>
      <w:bookmarkStart w:id="525" w:name="_Toc6698"/>
      <w:bookmarkStart w:id="526" w:name="_Toc3135"/>
      <w:bookmarkStart w:id="527" w:name="_Toc279701262"/>
      <w:bookmarkStart w:id="528" w:name="_Toc259093691"/>
      <w:bookmarkStart w:id="529" w:name="_Toc487900372"/>
      <w:r>
        <w:rPr>
          <w:rFonts w:ascii="仿宋" w:hAnsi="仿宋" w:eastAsia="仿宋"/>
          <w:sz w:val="24"/>
        </w:rPr>
        <w:t>2.17.1</w:t>
      </w:r>
      <w:r>
        <w:rPr>
          <w:rFonts w:hint="eastAsia" w:ascii="仿宋" w:hAnsi="仿宋" w:eastAsia="仿宋"/>
          <w:sz w:val="24"/>
        </w:rPr>
        <w:t>任何一方因履行合同而以合同第一部分尾部所列明的传真或电子邮件</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ascii="仿宋" w:hAnsi="仿宋" w:eastAsia="仿宋"/>
          <w:sz w:val="24"/>
        </w:rPr>
      </w:pPr>
      <w:bookmarkStart w:id="530" w:name="_Toc23294"/>
      <w:bookmarkStart w:id="531" w:name="_Toc23128"/>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530"/>
      <w:bookmarkEnd w:id="531"/>
    </w:p>
    <w:p>
      <w:pPr>
        <w:spacing w:line="560" w:lineRule="exact"/>
        <w:ind w:firstLine="482" w:firstLineChars="200"/>
        <w:outlineLvl w:val="0"/>
        <w:rPr>
          <w:rFonts w:ascii="仿宋" w:hAnsi="仿宋" w:eastAsia="仿宋"/>
          <w:b/>
          <w:sz w:val="24"/>
        </w:rPr>
      </w:pPr>
      <w:bookmarkStart w:id="532" w:name="_Toc4355"/>
      <w:bookmarkStart w:id="533" w:name="_Toc18540"/>
      <w:bookmarkStart w:id="534" w:name="_Toc30599"/>
      <w:r>
        <w:rPr>
          <w:rFonts w:ascii="仿宋" w:hAnsi="仿宋" w:eastAsia="仿宋"/>
          <w:b/>
          <w:sz w:val="24"/>
        </w:rPr>
        <w:t xml:space="preserve">2.18 </w:t>
      </w:r>
      <w:r>
        <w:rPr>
          <w:rFonts w:hint="eastAsia" w:ascii="仿宋" w:hAnsi="仿宋" w:eastAsia="仿宋"/>
          <w:b/>
          <w:sz w:val="24"/>
        </w:rPr>
        <w:t>计量单位</w:t>
      </w:r>
      <w:bookmarkEnd w:id="527"/>
      <w:bookmarkEnd w:id="528"/>
      <w:bookmarkEnd w:id="529"/>
      <w:bookmarkEnd w:id="532"/>
      <w:bookmarkEnd w:id="533"/>
      <w:bookmarkEnd w:id="534"/>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535" w:name="_Toc279701263"/>
      <w:bookmarkStart w:id="536" w:name="_Toc12773"/>
      <w:bookmarkStart w:id="537" w:name="_Toc487900373"/>
      <w:bookmarkStart w:id="538" w:name="_Toc259093692"/>
      <w:bookmarkStart w:id="539" w:name="_Toc10330"/>
      <w:bookmarkStart w:id="540" w:name="_Toc18567"/>
      <w:r>
        <w:rPr>
          <w:rFonts w:ascii="仿宋" w:hAnsi="仿宋" w:eastAsia="仿宋"/>
          <w:b/>
          <w:sz w:val="24"/>
        </w:rPr>
        <w:t xml:space="preserve">2.19 </w:t>
      </w:r>
      <w:r>
        <w:rPr>
          <w:rFonts w:hint="eastAsia" w:ascii="仿宋" w:hAnsi="仿宋" w:eastAsia="仿宋"/>
          <w:b/>
          <w:sz w:val="24"/>
        </w:rPr>
        <w:t>合同使用的文字和适用的法律</w:t>
      </w:r>
      <w:bookmarkEnd w:id="535"/>
      <w:bookmarkEnd w:id="536"/>
      <w:bookmarkEnd w:id="537"/>
      <w:bookmarkEnd w:id="538"/>
      <w:bookmarkEnd w:id="539"/>
      <w:bookmarkEnd w:id="540"/>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541" w:name="_Toc279701264"/>
      <w:bookmarkStart w:id="542" w:name="_Toc16673"/>
      <w:bookmarkStart w:id="543" w:name="_Toc12004"/>
      <w:bookmarkStart w:id="544" w:name="_Toc259093693"/>
      <w:bookmarkStart w:id="545" w:name="_Toc3148"/>
      <w:bookmarkStart w:id="546" w:name="_Toc487900374"/>
      <w:r>
        <w:rPr>
          <w:rFonts w:ascii="仿宋" w:hAnsi="仿宋" w:eastAsia="仿宋"/>
          <w:b/>
          <w:sz w:val="24"/>
        </w:rPr>
        <w:t xml:space="preserve">2.20 </w:t>
      </w:r>
      <w:r>
        <w:rPr>
          <w:rFonts w:hint="eastAsia" w:ascii="仿宋" w:hAnsi="仿宋" w:eastAsia="仿宋"/>
          <w:b/>
          <w:sz w:val="24"/>
        </w:rPr>
        <w:t>履约保证金</w:t>
      </w:r>
      <w:bookmarkEnd w:id="541"/>
      <w:bookmarkEnd w:id="542"/>
      <w:bookmarkEnd w:id="543"/>
      <w:bookmarkEnd w:id="544"/>
      <w:bookmarkEnd w:id="545"/>
    </w:p>
    <w:p>
      <w:pPr>
        <w:pStyle w:val="617"/>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ascii="仿宋" w:hAnsi="仿宋" w:eastAsia="仿宋"/>
        </w:rPr>
        <w:t>5%的履约保证金；鼓励和支持乙方以银行、保险公司出具的保函形式提供履约保证。</w:t>
      </w:r>
    </w:p>
    <w:p>
      <w:pPr>
        <w:spacing w:line="560" w:lineRule="exact"/>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履约保证金在</w:t>
      </w:r>
      <w:r>
        <w:rPr>
          <w:rFonts w:hint="eastAsia" w:ascii="仿宋" w:hAnsi="仿宋" w:eastAsia="仿宋"/>
          <w:b/>
          <w:i/>
          <w:sz w:val="24"/>
          <w:u w:val="single"/>
        </w:rPr>
        <w:t>合同专用条款</w:t>
      </w:r>
      <w:r>
        <w:rPr>
          <w:rFonts w:hint="eastAsia" w:ascii="仿宋" w:hAnsi="仿宋" w:eastAsia="仿宋"/>
          <w:sz w:val="24"/>
        </w:rPr>
        <w:t>约定期间内不予退还。乙方在前述约定期间届满前能履行完合同约定义务事项的，甲方在前述约定期间届满之日起</w:t>
      </w:r>
      <w:r>
        <w:rPr>
          <w:rFonts w:ascii="仿宋" w:hAnsi="仿宋" w:eastAsia="仿宋"/>
          <w:sz w:val="24"/>
          <w:u w:val="single"/>
        </w:rPr>
        <w:t xml:space="preserve"> </w:t>
      </w:r>
      <w:r>
        <w:rPr>
          <w:rFonts w:hint="eastAsia" w:ascii="仿宋" w:hAnsi="仿宋" w:eastAsia="仿宋"/>
          <w:sz w:val="24"/>
          <w:u w:val="single"/>
        </w:rPr>
        <w:t>5</w:t>
      </w:r>
      <w:r>
        <w:rPr>
          <w:rFonts w:ascii="仿宋" w:hAnsi="仿宋" w:eastAsia="仿宋"/>
          <w:sz w:val="24"/>
          <w:u w:val="single"/>
        </w:rPr>
        <w:t xml:space="preserve"> </w:t>
      </w:r>
      <w:r>
        <w:rPr>
          <w:rFonts w:hint="eastAsia" w:ascii="仿宋" w:hAnsi="仿宋" w:eastAsia="仿宋"/>
          <w:sz w:val="24"/>
        </w:rPr>
        <w:t>个工作日内，按</w:t>
      </w:r>
      <w:r>
        <w:rPr>
          <w:rFonts w:hint="eastAsia" w:ascii="仿宋" w:hAnsi="仿宋" w:eastAsia="仿宋"/>
          <w:b/>
          <w:i/>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560" w:lineRule="exact"/>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546"/>
    <w:p>
      <w:pPr>
        <w:spacing w:line="560" w:lineRule="exact"/>
        <w:ind w:firstLine="482" w:firstLineChars="200"/>
        <w:outlineLvl w:val="0"/>
        <w:rPr>
          <w:rFonts w:ascii="仿宋" w:hAnsi="仿宋" w:eastAsia="仿宋"/>
          <w:b/>
          <w:sz w:val="24"/>
        </w:rPr>
      </w:pPr>
      <w:bookmarkStart w:id="547" w:name="_Toc14001"/>
      <w:bookmarkStart w:id="548" w:name="_Toc6885"/>
      <w:bookmarkStart w:id="549" w:name="_Toc19890"/>
      <w:r>
        <w:rPr>
          <w:rFonts w:ascii="仿宋" w:hAnsi="仿宋" w:eastAsia="仿宋"/>
          <w:b/>
          <w:sz w:val="24"/>
        </w:rPr>
        <w:t>2.2</w:t>
      </w:r>
      <w:r>
        <w:rPr>
          <w:rFonts w:hint="eastAsia" w:ascii="仿宋" w:hAnsi="仿宋" w:eastAsia="仿宋"/>
          <w:b/>
          <w:sz w:val="24"/>
        </w:rPr>
        <w:t>2合同份数</w:t>
      </w:r>
      <w:bookmarkEnd w:id="547"/>
      <w:bookmarkEnd w:id="548"/>
      <w:bookmarkEnd w:id="549"/>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385"/>
        <w:spacing w:line="560" w:lineRule="exact"/>
        <w:jc w:val="center"/>
        <w:rPr>
          <w:rFonts w:ascii="仿宋" w:hAnsi="仿宋" w:eastAsia="仿宋"/>
          <w:b/>
          <w:szCs w:val="24"/>
        </w:rPr>
      </w:pPr>
      <w:r>
        <w:rPr>
          <w:rFonts w:ascii="仿宋" w:hAnsi="仿宋" w:eastAsia="仿宋" w:cs="黑体"/>
          <w:kern w:val="0"/>
          <w:szCs w:val="24"/>
        </w:rPr>
        <w:br w:type="page"/>
      </w:r>
      <w:bookmarkStart w:id="550" w:name="_Toc331685784"/>
      <w:r>
        <w:rPr>
          <w:rFonts w:hint="eastAsia" w:ascii="仿宋" w:hAnsi="仿宋" w:eastAsia="仿宋"/>
          <w:b/>
          <w:szCs w:val="24"/>
        </w:rPr>
        <w:t xml:space="preserve"> </w:t>
      </w:r>
      <w:bookmarkEnd w:id="550"/>
      <w:r>
        <w:rPr>
          <w:rFonts w:hint="eastAsia" w:ascii="仿宋" w:hAnsi="仿宋" w:eastAsia="仿宋"/>
          <w:b/>
          <w:szCs w:val="24"/>
        </w:rPr>
        <w:t>第三部分</w:t>
      </w:r>
      <w:r>
        <w:rPr>
          <w:rFonts w:ascii="仿宋" w:hAnsi="仿宋" w:eastAsia="仿宋"/>
          <w:b/>
          <w:szCs w:val="24"/>
        </w:rPr>
        <w:t xml:space="preserve">  </w:t>
      </w:r>
      <w:r>
        <w:rPr>
          <w:rFonts w:hint="eastAsia" w:ascii="仿宋" w:hAnsi="仿宋" w:eastAsia="仿宋"/>
          <w:b/>
          <w:szCs w:val="24"/>
        </w:rPr>
        <w:t>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8275" w:type="dxa"/>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r>
              <w:rPr>
                <w:rFonts w:ascii="仿宋" w:hAnsi="仿宋" w:eastAsia="仿宋"/>
                <w:sz w:val="24"/>
              </w:rPr>
              <w:t xml:space="preserve"> </w:t>
            </w:r>
          </w:p>
        </w:tc>
        <w:tc>
          <w:tcPr>
            <w:tcW w:w="8275" w:type="dxa"/>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3"/>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8"/>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8"/>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88"/>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3"/>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3"/>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376"/>
        <w:tabs>
          <w:tab w:val="clear" w:pos="720"/>
        </w:tabs>
        <w:snapToGrid w:val="0"/>
        <w:spacing w:before="120" w:after="120"/>
        <w:ind w:firstLine="643"/>
        <w:jc w:val="both"/>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2"/>
        <w:pageBreakBefore/>
        <w:widowControl/>
        <w:spacing w:before="100" w:beforeAutospacing="1" w:after="100" w:afterAutospacing="1" w:line="360" w:lineRule="auto"/>
        <w:ind w:left="0" w:firstLine="0"/>
        <w:jc w:val="center"/>
        <w:rPr>
          <w:rFonts w:ascii="仿宋_GB2312" w:hAnsi="仿宋" w:eastAsia="仿宋_GB2312"/>
        </w:rPr>
      </w:pPr>
      <w:bookmarkStart w:id="551" w:name="_Toc465665161"/>
      <w:r>
        <w:rPr>
          <w:rFonts w:hint="eastAsia" w:ascii="仿宋_GB2312" w:hAnsi="仿宋" w:eastAsia="仿宋_GB2312"/>
        </w:rPr>
        <w:t>附件</w:t>
      </w:r>
      <w:bookmarkEnd w:id="55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52" w:name="OLE_LINK14"/>
      <w:bookmarkStart w:id="553" w:name="OLE_LINK13"/>
      <w:r>
        <w:rPr>
          <w:rFonts w:hint="eastAsia" w:ascii="仿宋_GB2312" w:hAnsi="仿宋" w:eastAsia="仿宋_GB2312"/>
          <w:b/>
          <w:spacing w:val="6"/>
          <w:sz w:val="32"/>
          <w:szCs w:val="32"/>
        </w:rPr>
        <w:t>残疾人福利性单位声明函</w:t>
      </w:r>
    </w:p>
    <w:bookmarkEnd w:id="552"/>
    <w:bookmarkEnd w:id="55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仿宋" w:hAnsi="仿宋" w:eastAsia="仿宋"/>
          <w:b/>
          <w:bCs/>
          <w:sz w:val="24"/>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Vrinda">
    <w:altName w:val="Segoe Print"/>
    <w:panose1 w:val="000004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bookmarkStart w:id="554" w:name="_Toc164085800"/>
    <w:bookmarkStart w:id="555" w:name="_Toc36110187"/>
    <w:bookmarkStart w:id="556" w:name="_Toc91899912"/>
    <w:bookmarkStart w:id="557" w:name="_Toc131845147"/>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杭州市余杭区政府采购公开招标文件</w:t>
    </w:r>
  </w:p>
  <w:p>
    <w:pPr>
      <w:pStyle w:val="58"/>
      <w:tabs>
        <w:tab w:val="center" w:pos="4535"/>
        <w:tab w:val="right" w:pos="9070"/>
      </w:tabs>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余杭区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杭州市余杭区政府采购公开招标文件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杭州市余杭区政府采购公开招标文件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杭州市余杭区政府采购公开招标文件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AE935"/>
    <w:multiLevelType w:val="singleLevel"/>
    <w:tmpl w:val="622AE935"/>
    <w:lvl w:ilvl="0" w:tentative="0">
      <w:start w:val="3"/>
      <w:numFmt w:val="chineseCounting"/>
      <w:suff w:val="nothing"/>
      <w:lvlText w:val="%1、"/>
      <w:lvlJc w:val="left"/>
    </w:lvl>
  </w:abstractNum>
  <w:abstractNum w:abstractNumId="1">
    <w:nsid w:val="622AEAD2"/>
    <w:multiLevelType w:val="singleLevel"/>
    <w:tmpl w:val="622AEAD2"/>
    <w:lvl w:ilvl="0" w:tentative="0">
      <w:start w:val="1"/>
      <w:numFmt w:val="decimal"/>
      <w:suff w:val="nothing"/>
      <w:lvlText w:val="%1、"/>
      <w:lvlJc w:val="left"/>
    </w:lvl>
  </w:abstractNum>
  <w:abstractNum w:abstractNumId="2">
    <w:nsid w:val="622AEAF1"/>
    <w:multiLevelType w:val="singleLevel"/>
    <w:tmpl w:val="622AEAF1"/>
    <w:lvl w:ilvl="0" w:tentative="0">
      <w:start w:val="1"/>
      <w:numFmt w:val="decimal"/>
      <w:suff w:val="nothing"/>
      <w:lvlText w:val="%1、"/>
      <w:lvlJc w:val="left"/>
    </w:lvl>
  </w:abstractNum>
  <w:abstractNum w:abstractNumId="3">
    <w:nsid w:val="622AEB05"/>
    <w:multiLevelType w:val="singleLevel"/>
    <w:tmpl w:val="622AEB05"/>
    <w:lvl w:ilvl="0" w:tentative="0">
      <w:start w:val="1"/>
      <w:numFmt w:val="decimal"/>
      <w:suff w:val="nothing"/>
      <w:lvlText w:val="%1、"/>
      <w:lvlJc w:val="left"/>
    </w:lvl>
  </w:abstractNum>
  <w:abstractNum w:abstractNumId="4">
    <w:nsid w:val="622AEB3E"/>
    <w:multiLevelType w:val="singleLevel"/>
    <w:tmpl w:val="622AEB3E"/>
    <w:lvl w:ilvl="0" w:tentative="0">
      <w:start w:val="1"/>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EwZmNjOGJlZmNkODgzYmVjZDY3OTc4NGU5ZWQ4Nz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2B9"/>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2A"/>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38"/>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A8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C63"/>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5E"/>
    <w:rsid w:val="002621D7"/>
    <w:rsid w:val="00262996"/>
    <w:rsid w:val="00263044"/>
    <w:rsid w:val="00263759"/>
    <w:rsid w:val="002638BD"/>
    <w:rsid w:val="0026470B"/>
    <w:rsid w:val="0026486D"/>
    <w:rsid w:val="00264C4B"/>
    <w:rsid w:val="00264C82"/>
    <w:rsid w:val="00264ED0"/>
    <w:rsid w:val="00265346"/>
    <w:rsid w:val="00265B49"/>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B79"/>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5E5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0B8D"/>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37E"/>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13B"/>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07B"/>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874"/>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56"/>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0DB3"/>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DC5"/>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577"/>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2A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E7BD1"/>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57CA7"/>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691"/>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D77CD"/>
    <w:rsid w:val="008E01A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630"/>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46E1"/>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A1C"/>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64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0B2"/>
    <w:rsid w:val="00AA721D"/>
    <w:rsid w:val="00AA7519"/>
    <w:rsid w:val="00AA790A"/>
    <w:rsid w:val="00AB02EA"/>
    <w:rsid w:val="00AB110C"/>
    <w:rsid w:val="00AB227A"/>
    <w:rsid w:val="00AB22BF"/>
    <w:rsid w:val="00AB256E"/>
    <w:rsid w:val="00AB2D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2E"/>
    <w:rsid w:val="00AD7C42"/>
    <w:rsid w:val="00AD7CFA"/>
    <w:rsid w:val="00AE06B0"/>
    <w:rsid w:val="00AE0BD6"/>
    <w:rsid w:val="00AE11C1"/>
    <w:rsid w:val="00AE163D"/>
    <w:rsid w:val="00AE1A42"/>
    <w:rsid w:val="00AE1C5C"/>
    <w:rsid w:val="00AE315E"/>
    <w:rsid w:val="00AE319F"/>
    <w:rsid w:val="00AE31D9"/>
    <w:rsid w:val="00AE3CF0"/>
    <w:rsid w:val="00AE4546"/>
    <w:rsid w:val="00AE509D"/>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604"/>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3FEA"/>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3EE0"/>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1B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3F48"/>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65"/>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18D"/>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BCF"/>
    <w:rsid w:val="00E5448E"/>
    <w:rsid w:val="00E54E0D"/>
    <w:rsid w:val="00E55247"/>
    <w:rsid w:val="00E558E5"/>
    <w:rsid w:val="00E55B3C"/>
    <w:rsid w:val="00E56795"/>
    <w:rsid w:val="00E57932"/>
    <w:rsid w:val="00E606C4"/>
    <w:rsid w:val="00E60811"/>
    <w:rsid w:val="00E60AB8"/>
    <w:rsid w:val="00E6103E"/>
    <w:rsid w:val="00E6185F"/>
    <w:rsid w:val="00E61D32"/>
    <w:rsid w:val="00E6220E"/>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6F8A"/>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707"/>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63EC"/>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342"/>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4EB"/>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898"/>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4B57B3"/>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74116"/>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A2174E"/>
    <w:rsid w:val="10C26171"/>
    <w:rsid w:val="10F33360"/>
    <w:rsid w:val="10FC16EA"/>
    <w:rsid w:val="110F1D40"/>
    <w:rsid w:val="11266F33"/>
    <w:rsid w:val="118963A1"/>
    <w:rsid w:val="11C6522A"/>
    <w:rsid w:val="11E104CC"/>
    <w:rsid w:val="11E20309"/>
    <w:rsid w:val="12255233"/>
    <w:rsid w:val="12530213"/>
    <w:rsid w:val="12627D38"/>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050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974DE1"/>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075038"/>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7B3126"/>
    <w:rsid w:val="24B22173"/>
    <w:rsid w:val="24B95AD9"/>
    <w:rsid w:val="24BE24DA"/>
    <w:rsid w:val="24CF5825"/>
    <w:rsid w:val="24D663E6"/>
    <w:rsid w:val="24D77F2B"/>
    <w:rsid w:val="25233284"/>
    <w:rsid w:val="258B00E2"/>
    <w:rsid w:val="25A917A6"/>
    <w:rsid w:val="25BE27CC"/>
    <w:rsid w:val="25C76DF2"/>
    <w:rsid w:val="25F74A5C"/>
    <w:rsid w:val="2628662C"/>
    <w:rsid w:val="262D45DE"/>
    <w:rsid w:val="26A53EF9"/>
    <w:rsid w:val="26A94201"/>
    <w:rsid w:val="26AC274F"/>
    <w:rsid w:val="27044A29"/>
    <w:rsid w:val="271D34C8"/>
    <w:rsid w:val="27337CE7"/>
    <w:rsid w:val="276142BF"/>
    <w:rsid w:val="27783712"/>
    <w:rsid w:val="27907362"/>
    <w:rsid w:val="27927C5F"/>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A518F"/>
    <w:rsid w:val="2A1C7367"/>
    <w:rsid w:val="2A2815FA"/>
    <w:rsid w:val="2A6D6092"/>
    <w:rsid w:val="2A7D76B4"/>
    <w:rsid w:val="2B437463"/>
    <w:rsid w:val="2B7807EE"/>
    <w:rsid w:val="2BBF00EC"/>
    <w:rsid w:val="2BC37CFD"/>
    <w:rsid w:val="2BD5237F"/>
    <w:rsid w:val="2BE536CE"/>
    <w:rsid w:val="2BE758D9"/>
    <w:rsid w:val="2C09049E"/>
    <w:rsid w:val="2C0A653C"/>
    <w:rsid w:val="2C0D7EAF"/>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6617B2"/>
    <w:rsid w:val="32BE5C2C"/>
    <w:rsid w:val="32C64254"/>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971C1"/>
    <w:rsid w:val="358D5588"/>
    <w:rsid w:val="363A3B40"/>
    <w:rsid w:val="365302AE"/>
    <w:rsid w:val="36607A0A"/>
    <w:rsid w:val="366E227C"/>
    <w:rsid w:val="366F2E0D"/>
    <w:rsid w:val="367B6A5C"/>
    <w:rsid w:val="36A74ADA"/>
    <w:rsid w:val="36AD60D5"/>
    <w:rsid w:val="36B224F9"/>
    <w:rsid w:val="36EC0CC9"/>
    <w:rsid w:val="373F410B"/>
    <w:rsid w:val="37C65231"/>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BD4494"/>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47785"/>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1276F5"/>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E64D88"/>
    <w:rsid w:val="58EE2E88"/>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7B7BC0"/>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15B2D"/>
    <w:rsid w:val="6DF43C2E"/>
    <w:rsid w:val="6DF51CA3"/>
    <w:rsid w:val="6E8335BD"/>
    <w:rsid w:val="6E8E12EF"/>
    <w:rsid w:val="6E972936"/>
    <w:rsid w:val="6ED446C5"/>
    <w:rsid w:val="6F2A7D94"/>
    <w:rsid w:val="6F3F7E25"/>
    <w:rsid w:val="6F8331F1"/>
    <w:rsid w:val="6FAE1A09"/>
    <w:rsid w:val="6FD75BF8"/>
    <w:rsid w:val="707723D0"/>
    <w:rsid w:val="70F5661B"/>
    <w:rsid w:val="71360107"/>
    <w:rsid w:val="713B688E"/>
    <w:rsid w:val="71CE663B"/>
    <w:rsid w:val="71D43752"/>
    <w:rsid w:val="71F1796A"/>
    <w:rsid w:val="72154626"/>
    <w:rsid w:val="72262B5D"/>
    <w:rsid w:val="72283FF7"/>
    <w:rsid w:val="722E7212"/>
    <w:rsid w:val="723A0474"/>
    <w:rsid w:val="725923E4"/>
    <w:rsid w:val="72864BF7"/>
    <w:rsid w:val="729023FC"/>
    <w:rsid w:val="73C0646E"/>
    <w:rsid w:val="73C700B4"/>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2F7E69"/>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2429B0"/>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Char1"/>
    <w:basedOn w:val="1"/>
    <w:qFormat/>
    <w:uiPriority w:val="0"/>
    <w:rPr>
      <w:rFonts w:ascii="仿宋_GB2312" w:eastAsia="仿宋_GB2312"/>
      <w:b/>
      <w:sz w:val="32"/>
      <w:szCs w:val="32"/>
    </w:rPr>
  </w:style>
  <w:style w:type="paragraph" w:customStyle="1" w:styleId="80">
    <w:name w:val="Char Char Char Char Char Char Char Char Char Char Char Char Char"/>
    <w:basedOn w:val="1"/>
    <w:qFormat/>
    <w:uiPriority w:val="0"/>
    <w:rPr>
      <w:rFonts w:ascii="仿宋_GB2312" w:eastAsia="仿宋_GB2312"/>
      <w:b/>
      <w:sz w:val="32"/>
      <w:szCs w:val="32"/>
    </w:rPr>
  </w:style>
  <w:style w:type="paragraph" w:customStyle="1" w:styleId="81">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1"/>
    <w:qFormat/>
    <w:uiPriority w:val="0"/>
    <w:pPr>
      <w:spacing w:before="156" w:line="360" w:lineRule="auto"/>
      <w:ind w:firstLine="510" w:firstLineChars="200"/>
    </w:pPr>
    <w:rPr>
      <w:sz w:val="24"/>
      <w:szCs w:val="20"/>
    </w:rPr>
  </w:style>
  <w:style w:type="paragraph" w:customStyle="1" w:styleId="87">
    <w:name w:val="无间隔1"/>
    <w:link w:val="669"/>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77"/>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3"/>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2"/>
    <w:qFormat/>
    <w:uiPriority w:val="0"/>
    <w:pPr>
      <w:ind w:left="0" w:right="466" w:firstLine="288"/>
    </w:pPr>
    <w:rPr>
      <w:rFonts w:hAnsi="宋体"/>
    </w:rPr>
  </w:style>
  <w:style w:type="paragraph" w:customStyle="1" w:styleId="94">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4"/>
    <w:qFormat/>
    <w:uiPriority w:val="0"/>
    <w:pPr>
      <w:adjustRightInd/>
      <w:spacing w:line="360" w:lineRule="auto"/>
      <w:ind w:firstLine="480" w:firstLineChars="200"/>
    </w:pPr>
    <w:rPr>
      <w:kern w:val="0"/>
      <w:sz w:val="24"/>
    </w:rPr>
  </w:style>
  <w:style w:type="paragraph" w:customStyle="1" w:styleId="99">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列出段落1"/>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795"/>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17"/>
    <w:qFormat/>
    <w:uiPriority w:val="0"/>
    <w:pPr>
      <w:tabs>
        <w:tab w:val="left" w:pos="2356"/>
      </w:tabs>
    </w:pPr>
  </w:style>
  <w:style w:type="paragraph" w:customStyle="1" w:styleId="104">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0"/>
    <w:qFormat/>
    <w:uiPriority w:val="0"/>
    <w:pPr>
      <w:adjustRightInd/>
    </w:pPr>
    <w:rPr>
      <w:rFonts w:ascii="宋体" w:hAnsi="Courier New"/>
      <w:kern w:val="0"/>
      <w:sz w:val="20"/>
      <w:szCs w:val="20"/>
    </w:rPr>
  </w:style>
  <w:style w:type="paragraph" w:customStyle="1" w:styleId="107">
    <w:name w:val="正文说明"/>
    <w:basedOn w:val="1"/>
    <w:link w:val="842"/>
    <w:qFormat/>
    <w:uiPriority w:val="0"/>
    <w:pPr>
      <w:adjustRightInd/>
      <w:spacing w:line="360" w:lineRule="auto"/>
    </w:pPr>
    <w:rPr>
      <w:kern w:val="0"/>
      <w:sz w:val="24"/>
    </w:rPr>
  </w:style>
  <w:style w:type="paragraph" w:customStyle="1" w:styleId="108">
    <w:name w:val="Table Text"/>
    <w:basedOn w:val="1"/>
    <w:link w:val="848"/>
    <w:qFormat/>
    <w:uiPriority w:val="0"/>
    <w:pPr>
      <w:widowControl/>
      <w:spacing w:before="60" w:after="60"/>
      <w:jc w:val="left"/>
    </w:pPr>
    <w:rPr>
      <w:kern w:val="0"/>
      <w:sz w:val="24"/>
    </w:rPr>
  </w:style>
  <w:style w:type="paragraph" w:customStyle="1" w:styleId="109">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6"/>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无间隔2"/>
    <w:basedOn w:val="1"/>
    <w:link w:val="938"/>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7"/>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7"/>
    <w:next w:val="97"/>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7"/>
    <w:next w:val="97"/>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5"/>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2"/>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6"/>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3"/>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58"/>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8"/>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2"/>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8">
    <w:name w:val="表格非标题文字 Char"/>
    <w:link w:val="81"/>
    <w:qFormat/>
    <w:uiPriority w:val="0"/>
    <w:rPr>
      <w:rFonts w:ascii="Futura Bk" w:hAnsi="Futura Bk"/>
      <w:kern w:val="2"/>
      <w:sz w:val="18"/>
      <w:szCs w:val="21"/>
      <w:lang w:val="en-US" w:eastAsia="zh-CN" w:bidi="ar-SA"/>
    </w:rPr>
  </w:style>
  <w:style w:type="character" w:customStyle="1" w:styleId="619">
    <w:name w:val="*正文 Char"/>
    <w:link w:val="82"/>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3"/>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4"/>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5"/>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6"/>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7"/>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8"/>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90"/>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1"/>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2"/>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3"/>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5"/>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6"/>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7"/>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8"/>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9"/>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100"/>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2"/>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2"/>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5"/>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6"/>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7"/>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8"/>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0"/>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9"/>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10"/>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1"/>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2"/>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3"/>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4"/>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5"/>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6"/>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7"/>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6"/>
    <w:qFormat/>
    <w:uiPriority w:val="99"/>
    <w:rPr>
      <w:kern w:val="2"/>
      <w:sz w:val="21"/>
      <w:szCs w:val="22"/>
    </w:rPr>
  </w:style>
  <w:style w:type="character" w:customStyle="1" w:styleId="939">
    <w:name w:val="标准文本 Char Char"/>
    <w:link w:val="605"/>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7"/>
    <w:basedOn w:val="62"/>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73</Pages>
  <Words>33868</Words>
  <Characters>35996</Characters>
  <Lines>314</Lines>
  <Paragraphs>88</Paragraphs>
  <TotalTime>11</TotalTime>
  <ScaleCrop>false</ScaleCrop>
  <LinksUpToDate>false</LinksUpToDate>
  <CharactersWithSpaces>42368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高乐怡</cp:lastModifiedBy>
  <cp:lastPrinted>2021-12-27T03:06:00Z</cp:lastPrinted>
  <dcterms:modified xsi:type="dcterms:W3CDTF">2022-05-16T02:34:39Z</dcterms:modified>
  <dc:title>杭州市市民卡扩大发卡工程</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