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2021年余杭区文化和广电旅游体育局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根据新修订的《中华人民共和国政府信息公开条例》《国务院办公厅政府信息与政务公开办公室关于印发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〈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中华人民共和国政府信息公开工作年度报告格式〉的通知》《杭州市人民政府办公厅关于做好2021年政务公开工作总结和202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年工作思路的通知》《关于印发〈中华人民共和国政府信息公开工作年度报告格式〉的通知》（国办公开办函〔2021〕30号）要求，编制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余杭区文化和广电旅游体育局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政府信息公开工作年度报告。报告全文包括总体情况、主动公开政府信息情况、收到和处理政府信息公开申请情况、因政府信息公开工作被行政复议和行政诉讼情况、存在的主要问题及改进情况和其他需要报告的事项等六部分，本报告中所列数据的统计期限自2021年1月1日起至2021年12月31日止。如对本年报有疑问，请与余杭区文化和广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</w:t>
      </w:r>
      <w:r>
        <w:rPr>
          <w:rFonts w:hint="eastAsia" w:ascii="仿宋_GB2312" w:hAnsi="仿宋_GB2312" w:eastAsia="仿宋_GB2312" w:cs="仿宋_GB2312"/>
          <w:sz w:val="32"/>
          <w:szCs w:val="32"/>
        </w:rPr>
        <w:t>游体育局联系（电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0571-86241240，地址：杭州市余杭区五常街道溪沁路8号电信浙江创新园）。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1、主动公开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区文化和广电旅游体育局共通过余杭区门户网站公开信息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；信息公开指南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1条；行政规范性文件1条；公开征求意见及反馈4条；政策解读3条；部门文件9条；财政信息2条；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公告公示（民生类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栏目4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公告公示（其他类）栏目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行政执法栏目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政府信息公开工作年度报告1条。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区文广旅体局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余杭区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政府信息主动公开基本目录和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信息公开指南，及时更新组织机构和人事信息，确保信息公开电话畅通、信息公开地址无误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依法公开行政规范性文件、部门文件、财政预决算、行政执法公开、政府信息公开年报等信息，及时公开公共文化体育、广播电视、旅游行业内各类公示公告。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2、依申请公开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2021年，未收到公民、法</w:t>
      </w:r>
      <w:r>
        <w:rPr>
          <w:rFonts w:hint="eastAsia" w:ascii="仿宋_GB2312" w:hAnsi="仿宋_GB2312" w:eastAsia="仿宋_GB2312" w:cs="仿宋_GB2312"/>
          <w:sz w:val="32"/>
          <w:szCs w:val="32"/>
        </w:rPr>
        <w:t>人或其他组织的信息公开申请，本年度无信息公开收费及减免情况。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积极拓展信息公开方式，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开通网上申请、信函申请、现场申请、电话接访、“民呼我为”平台等多种方式，拓宽信息公开渠道，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群众知情权，确保政府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信息依申请公开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工作落到实处，保证政府信息公开及时、真实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3、政府信息管理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为确保政府信息公开工作有序开展，本单位对信息公开工作高度重视，落实信息公开责任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召开政府信息公开协调会议，明确各科室对应职责，并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依托机关内部最多跑一次平台，设立信息公开审批申请制度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科室负责人、财务负责人、分管领导审批复核，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确保信息发布的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严谨、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4、政府信息公开平台建设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推进新媒体平台建设，依托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“余杭文旅”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</w:rPr>
        <w:t>公众号与微博，及时公开旅游文化、应季游线、景区资讯、特色餐饮等旅游信息，营造了良好的氛围。2021年，微信公众号发布文章976篇，总阅读量210.3万人次。发布的文章中，10篇被诗画浙江文旅资讯采用，19篇被杭州文广旅游发布采用，另有70篇被余杭发布等区级平台采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5、监督保障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谁发布、谁负责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的原则，落实初审、审核、审发的公开信息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制度，做好信息采集、审核、报送等环节的把关，加强日常监测，建立了信息公开、责任追究、保密审查等制度，确保政府信息公开内容无涉及国家秘密和内部机密事项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主动公开政府信息情况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both"/>
        <w:textAlignment w:val="auto"/>
        <w:rPr>
          <w:rFonts w:hint="eastAsia" w:ascii="宋体" w:hAnsi="宋体" w:eastAsia="仿宋_GB2312" w:cs="宋体"/>
          <w:b/>
          <w:i w:val="0"/>
          <w:caps w:val="0"/>
          <w:color w:val="333333"/>
          <w:spacing w:val="0"/>
          <w:sz w:val="32"/>
          <w:szCs w:val="24"/>
          <w:shd w:val="clear" w:color="auto" w:fill="FFFFFF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</w:rPr>
        <w:t>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  <w:lang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目前信息公开工作存在的主要问题在于信息公开工作缺乏时效性，各科室、下属单位发布的信息缺乏统一收集管理，信息公开文件报送格式错误，对于可供信息公开的文件内容、类型划分界限不清，缺乏信息公开工作宣传、培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为解决上述问题，计划今年开展对各科室、下属单位的信息公开制度解析研讨会，依托浙政钉等平台建立信息公开报送群，确定各科室、单位信息公开负责人，梳理信息工作知识点、要点，从思想上引起高度重视。对日常工作中可以主动公开的政府信息，积极对接信息公开管理人员进行报送公开，明确报送时间、渠道，加大我局政务公开力度、政务工作透明度，进一步提升信息公开的时效性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24"/>
          <w:shd w:val="clear" w:color="auto" w:fill="FFFFFF"/>
          <w:lang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2021年未收取信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息处理费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余杭区文化和广电旅游体育局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2022年1月24日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6EECA2"/>
    <w:multiLevelType w:val="singleLevel"/>
    <w:tmpl w:val="256EEC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027FA"/>
    <w:rsid w:val="0C9D489B"/>
    <w:rsid w:val="11942BCF"/>
    <w:rsid w:val="14D233B9"/>
    <w:rsid w:val="19CD19A7"/>
    <w:rsid w:val="1FAC663A"/>
    <w:rsid w:val="2A2969D7"/>
    <w:rsid w:val="2DD4785B"/>
    <w:rsid w:val="348A0972"/>
    <w:rsid w:val="3C771FCD"/>
    <w:rsid w:val="419B2153"/>
    <w:rsid w:val="46E71C42"/>
    <w:rsid w:val="67AC20C6"/>
    <w:rsid w:val="6F902F00"/>
    <w:rsid w:val="76D00FB2"/>
    <w:rsid w:val="FFDE2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2022-01-10T18:49:00Z</dcterms:created>
  <dc:creator>陈达章</dc:creator>
  <cp:lastModifiedBy>陈达章</cp:lastModifiedBy>
  <cp:lastPrinted>2022-01-24T08:08:00Z</cp:lastPrinted>
  <dcterms:modified xsi:type="dcterms:W3CDTF">2022-02-15T04:32:00Z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89481AFC093F4497B16EB813CC3B1C6C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