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bookmarkStart w:id="514" w:name="_GoBack"/>
      <w:bookmarkEnd w:id="514"/>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闲林街道办事处电动汽车租赁服务项目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编号:HZYHZFCG-2022-048</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杭州市余杭区人民政府闲林街道办事处</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杭州市公共资源交易中心余杭分中心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二〇二二年十二月二十三日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闲林街道办事处电动汽车租赁服务项目</w:t>
      </w:r>
      <w:r>
        <w:rPr>
          <w:rFonts w:hint="eastAsia" w:ascii="宋体" w:hAnsi="宋体" w:cs="宋体"/>
          <w:sz w:val="24"/>
        </w:rPr>
        <w:t>招标项目的潜在投标人应在政采云平台（</w:t>
      </w:r>
      <w:r>
        <w:fldChar w:fldCharType="begin"/>
      </w:r>
      <w:r>
        <w:instrText xml:space="preserve"> HYPERLINK "https://www.zcygov.cn/）获取（下载）招标文件，并于2023年1月13日13时30分00秒" </w:instrText>
      </w:r>
      <w:r>
        <w:fldChar w:fldCharType="separate"/>
      </w:r>
      <w:r>
        <w:rPr>
          <w:rStyle w:val="76"/>
          <w:rFonts w:hint="eastAsia" w:ascii="宋体" w:hAnsi="宋体" w:eastAsia="宋体" w:cs="宋体"/>
          <w:kern w:val="2"/>
          <w:sz w:val="24"/>
          <w:szCs w:val="24"/>
        </w:rPr>
        <w:t>https://www.zcygov.cn/）获取（下载）招标文件，并于</w:t>
      </w:r>
      <w:r>
        <w:rPr>
          <w:rStyle w:val="76"/>
          <w:rFonts w:hint="eastAsia" w:ascii="宋体" w:hAnsi="宋体" w:eastAsia="宋体" w:cs="宋体"/>
          <w:snapToGrid/>
          <w:kern w:val="2"/>
          <w:sz w:val="24"/>
          <w:szCs w:val="24"/>
        </w:rPr>
        <w:t>2023年1月13日13时30分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HZYHZFCG-2022-048</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闲林街道办事处电动汽车租赁服务项目</w:t>
      </w:r>
    </w:p>
    <w:p>
      <w:pPr>
        <w:spacing w:line="360" w:lineRule="auto"/>
        <w:ind w:firstLine="482" w:firstLineChars="200"/>
        <w:rPr>
          <w:rFonts w:ascii="宋体" w:hAnsi="宋体" w:cs="宋体"/>
          <w:b/>
          <w:sz w:val="24"/>
        </w:rPr>
      </w:pPr>
      <w:r>
        <w:rPr>
          <w:rFonts w:hint="eastAsia" w:ascii="宋体" w:hAnsi="宋体" w:cs="宋体"/>
          <w:b/>
          <w:sz w:val="24"/>
        </w:rPr>
        <w:t>确认书编号：</w:t>
      </w:r>
      <w:r>
        <w:rPr>
          <w:rFonts w:hint="eastAsia" w:ascii="宋体" w:hAnsi="宋体" w:cs="宋体"/>
          <w:sz w:val="24"/>
        </w:rPr>
        <w:t>余政采集-2022-04184</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sz w:val="24"/>
        </w:rPr>
        <w:t xml:space="preserve"> </w:t>
      </w:r>
      <w:r>
        <w:rPr>
          <w:rFonts w:ascii="宋体" w:hAnsi="宋体" w:cs="宋体"/>
          <w:sz w:val="24"/>
        </w:rPr>
        <w:t xml:space="preserve">1230000 </w:t>
      </w:r>
      <w:r>
        <w:rPr>
          <w:rFonts w:hint="eastAsia" w:ascii="宋体" w:hAnsi="宋体" w:cs="宋体"/>
          <w:sz w:val="24"/>
        </w:rPr>
        <w:t xml:space="preserve"> </w:t>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rPr>
        <w:t>本项目主要内容：为保障闲林街道辖区内综合治理执勤公务用车需要，街道拟向经主管备案的汽车租赁企业租赁34辆公务执勤车。详见招标文件第三部分采购需求。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rPr>
        <w:t>从车辆到位交接之日起1年</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.本项目的特定资格要求：具有行业主管部门核发的《汽车租赁经营备案证》或行业主管部门出具的汽车租赁备案信息证明；</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2023年1月13日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2023年1月13日13时30分</w:t>
      </w:r>
      <w:r>
        <w:rPr>
          <w:rFonts w:hint="eastAsia" w:ascii="宋体" w:hAnsi="宋体" w:cs="宋体"/>
          <w:bCs/>
          <w:sz w:val="24"/>
          <w:u w:val="single"/>
        </w:rPr>
        <w:t>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2023年1月13日13时30分</w:t>
      </w:r>
      <w:r>
        <w:rPr>
          <w:rFonts w:hint="eastAsia" w:ascii="宋体" w:hAnsi="宋体" w:cs="宋体"/>
          <w:bCs/>
          <w:sz w:val="24"/>
          <w:u w:val="single"/>
        </w:rPr>
        <w:t>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称：杭州市余杭区人民政府闲林街道办事处 </w:t>
      </w:r>
    </w:p>
    <w:p>
      <w:pPr>
        <w:spacing w:line="360" w:lineRule="auto"/>
        <w:rPr>
          <w:rFonts w:ascii="宋体" w:hAnsi="宋体" w:cs="宋体"/>
          <w:sz w:val="24"/>
        </w:rPr>
      </w:pPr>
      <w:r>
        <w:rPr>
          <w:rFonts w:hint="eastAsia" w:ascii="宋体" w:hAnsi="宋体" w:cs="宋体"/>
          <w:sz w:val="24"/>
        </w:rPr>
        <w:t xml:space="preserve">    地    址：杭州市余杭区闲林街道闲富中路2号        </w:t>
      </w:r>
    </w:p>
    <w:p>
      <w:pPr>
        <w:spacing w:line="360" w:lineRule="auto"/>
        <w:ind w:firstLine="480"/>
        <w:rPr>
          <w:rFonts w:ascii="宋体" w:hAnsi="宋体" w:cs="宋体"/>
          <w:sz w:val="24"/>
        </w:rPr>
      </w:pPr>
      <w:r>
        <w:rPr>
          <w:rFonts w:hint="eastAsia" w:ascii="宋体" w:hAnsi="宋体" w:cs="宋体"/>
          <w:sz w:val="24"/>
        </w:rPr>
        <w:t xml:space="preserve">项目联系人（询问）：许建青  </w:t>
      </w:r>
    </w:p>
    <w:p>
      <w:pPr>
        <w:spacing w:line="360" w:lineRule="auto"/>
        <w:rPr>
          <w:rFonts w:ascii="宋体" w:hAnsi="宋体" w:cs="宋体"/>
          <w:sz w:val="24"/>
        </w:rPr>
      </w:pPr>
      <w:r>
        <w:rPr>
          <w:rFonts w:hint="eastAsia" w:ascii="宋体" w:hAnsi="宋体" w:cs="宋体"/>
          <w:sz w:val="24"/>
        </w:rPr>
        <w:t xml:space="preserve">    项目联系方式（询问）：0571-</w:t>
      </w:r>
      <w:r>
        <w:rPr>
          <w:rFonts w:ascii="宋体" w:hAnsi="宋体" w:cs="宋体"/>
          <w:sz w:val="24"/>
        </w:rPr>
        <w:t xml:space="preserve">89080278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质疑联系人：孙云峰</w:t>
      </w:r>
    </w:p>
    <w:p>
      <w:pPr>
        <w:spacing w:line="360" w:lineRule="auto"/>
        <w:rPr>
          <w:rFonts w:ascii="宋体" w:hAnsi="宋体" w:cs="宋体"/>
          <w:sz w:val="24"/>
        </w:rPr>
      </w:pPr>
      <w:r>
        <w:rPr>
          <w:rFonts w:hint="eastAsia" w:ascii="宋体" w:hAnsi="宋体" w:cs="宋体"/>
          <w:sz w:val="24"/>
        </w:rPr>
        <w:t xml:space="preserve">    质疑联系方式：0571-</w:t>
      </w:r>
      <w:r>
        <w:rPr>
          <w:rFonts w:ascii="宋体" w:hAnsi="宋体" w:cs="宋体"/>
          <w:sz w:val="24"/>
        </w:rPr>
        <w:t>89080082</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w:t>
      </w:r>
      <w:r>
        <w:rPr>
          <w:rFonts w:hint="eastAsia" w:ascii="宋体" w:hAnsi="宋体" w:cs="宋体"/>
          <w:color w:val="000000"/>
          <w:sz w:val="24"/>
        </w:rPr>
        <w:t>杭州市公共资源交易中心余杭分中心</w:t>
      </w:r>
    </w:p>
    <w:p>
      <w:pPr>
        <w:spacing w:line="360" w:lineRule="auto"/>
        <w:ind w:firstLine="480"/>
        <w:rPr>
          <w:rFonts w:ascii="宋体" w:hAnsi="宋体" w:cs="宋体"/>
          <w:sz w:val="24"/>
        </w:rPr>
      </w:pPr>
      <w:r>
        <w:rPr>
          <w:rFonts w:hint="eastAsia" w:ascii="宋体" w:hAnsi="宋体" w:cs="宋体"/>
          <w:sz w:val="24"/>
        </w:rPr>
        <w:t>地    址：浙江省</w:t>
      </w:r>
      <w:r>
        <w:rPr>
          <w:rFonts w:hint="eastAsia" w:ascii="宋体" w:hAnsi="宋体" w:cs="宋体"/>
          <w:color w:val="000000"/>
          <w:sz w:val="24"/>
        </w:rPr>
        <w:t>杭州市余杭区余杭街道凤新路366号瑞鸿大厦六楼</w:t>
      </w:r>
    </w:p>
    <w:p>
      <w:pPr>
        <w:spacing w:line="360" w:lineRule="auto"/>
        <w:rPr>
          <w:rFonts w:ascii="宋体" w:hAnsi="宋体" w:cs="宋体"/>
          <w:sz w:val="24"/>
        </w:rPr>
      </w:pPr>
      <w:r>
        <w:rPr>
          <w:rFonts w:hint="eastAsia" w:ascii="宋体" w:hAnsi="宋体" w:cs="宋体"/>
          <w:sz w:val="24"/>
        </w:rPr>
        <w:t xml:space="preserve">    电子邮箱：hzyhzfcg@126.com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color w:val="000000"/>
          <w:sz w:val="24"/>
        </w:rPr>
        <w:t>高乐怡</w:t>
      </w:r>
      <w:r>
        <w:rPr>
          <w:rFonts w:hint="eastAsia" w:ascii="宋体" w:hAnsi="宋体" w:cs="宋体"/>
          <w:sz w:val="24"/>
        </w:rPr>
        <w:t xml:space="preserve">        </w:t>
      </w:r>
    </w:p>
    <w:p>
      <w:pPr>
        <w:spacing w:line="360" w:lineRule="auto"/>
        <w:ind w:firstLine="480"/>
        <w:rPr>
          <w:rFonts w:ascii="宋体" w:hAnsi="宋体" w:cs="宋体"/>
          <w:color w:val="000000"/>
          <w:sz w:val="24"/>
        </w:rPr>
      </w:pPr>
      <w:r>
        <w:rPr>
          <w:rFonts w:hint="eastAsia" w:ascii="宋体" w:hAnsi="宋体" w:cs="宋体"/>
          <w:sz w:val="24"/>
        </w:rPr>
        <w:t>项目联系方式（询问）：</w:t>
      </w:r>
      <w:r>
        <w:rPr>
          <w:rFonts w:hint="eastAsia" w:ascii="宋体" w:hAnsi="宋体" w:cs="宋体"/>
          <w:color w:val="000000"/>
          <w:sz w:val="24"/>
        </w:rPr>
        <w:t>0571-89395184</w:t>
      </w:r>
    </w:p>
    <w:p>
      <w:pPr>
        <w:spacing w:line="360" w:lineRule="auto"/>
        <w:ind w:firstLine="480"/>
        <w:rPr>
          <w:rFonts w:ascii="宋体" w:hAnsi="宋体" w:cs="宋体"/>
          <w:sz w:val="24"/>
        </w:rPr>
      </w:pPr>
      <w:r>
        <w:rPr>
          <w:rFonts w:hint="eastAsia" w:ascii="宋体" w:hAnsi="宋体" w:cs="宋体"/>
          <w:sz w:val="24"/>
        </w:rPr>
        <w:t>质疑联系人：</w:t>
      </w:r>
      <w:r>
        <w:rPr>
          <w:rFonts w:hint="eastAsia" w:ascii="宋体" w:hAnsi="宋体" w:cs="宋体"/>
          <w:color w:val="000000"/>
          <w:sz w:val="24"/>
        </w:rPr>
        <w:t>邵华民</w:t>
      </w:r>
      <w:r>
        <w:rPr>
          <w:rFonts w:hint="eastAsia" w:ascii="宋体" w:hAnsi="宋体" w:cs="宋体"/>
          <w:sz w:val="24"/>
        </w:rPr>
        <w:t xml:space="preserve">              </w:t>
      </w:r>
    </w:p>
    <w:p>
      <w:pPr>
        <w:spacing w:line="360" w:lineRule="auto"/>
        <w:ind w:firstLine="480" w:firstLineChars="200"/>
        <w:rPr>
          <w:rFonts w:ascii="宋体" w:hAnsi="宋体" w:cs="宋体"/>
          <w:color w:val="000000"/>
          <w:sz w:val="24"/>
        </w:rPr>
      </w:pPr>
      <w:r>
        <w:rPr>
          <w:rFonts w:hint="eastAsia" w:ascii="宋体" w:hAnsi="宋体" w:cs="宋体"/>
          <w:sz w:val="24"/>
        </w:rPr>
        <w:t>质疑联系方式：</w:t>
      </w:r>
      <w:r>
        <w:rPr>
          <w:rFonts w:hint="eastAsia" w:ascii="宋体" w:hAnsi="宋体" w:cs="宋体"/>
          <w:color w:val="000000"/>
          <w:sz w:val="24"/>
        </w:rPr>
        <w:t xml:space="preserve"> 0571-89395454</w:t>
      </w:r>
    </w:p>
    <w:p>
      <w:pPr>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rPr>
          <w:rFonts w:ascii="宋体" w:hAnsi="宋体" w:cs="宋体"/>
          <w:sz w:val="24"/>
        </w:rPr>
      </w:pPr>
      <w:r>
        <w:rPr>
          <w:rFonts w:hint="eastAsia" w:ascii="宋体" w:hAnsi="宋体" w:cs="宋体"/>
          <w:sz w:val="24"/>
        </w:rPr>
        <w:t xml:space="preserve">    名    称：</w:t>
      </w:r>
      <w:r>
        <w:rPr>
          <w:rFonts w:hint="eastAsia" w:ascii="宋体" w:hAnsi="宋体" w:cs="宋体"/>
          <w:color w:val="000000"/>
          <w:sz w:val="24"/>
        </w:rPr>
        <w:t>杭州市余杭区财政局</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地    址：</w:t>
      </w:r>
      <w:r>
        <w:rPr>
          <w:rFonts w:hint="eastAsia" w:ascii="宋体" w:hAnsi="宋体" w:cs="宋体"/>
          <w:color w:val="000000"/>
          <w:sz w:val="24"/>
        </w:rPr>
        <w:t>杭州市余杭区文一西路1500号8号楼</w:t>
      </w:r>
    </w:p>
    <w:p>
      <w:pPr>
        <w:spacing w:line="360" w:lineRule="auto"/>
        <w:ind w:firstLine="240" w:firstLineChars="100"/>
        <w:rPr>
          <w:rFonts w:ascii="宋体" w:hAnsi="宋体" w:cs="宋体"/>
          <w:sz w:val="24"/>
        </w:rPr>
      </w:pPr>
      <w:r>
        <w:rPr>
          <w:rFonts w:hint="eastAsia" w:ascii="宋体" w:hAnsi="宋体" w:cs="宋体"/>
          <w:sz w:val="24"/>
        </w:rPr>
        <w:t xml:space="preserve">  传    真： </w:t>
      </w:r>
      <w:r>
        <w:rPr>
          <w:rFonts w:hint="eastAsia" w:ascii="宋体" w:hAnsi="宋体" w:cs="宋体"/>
          <w:color w:val="000000"/>
          <w:sz w:val="24"/>
        </w:rPr>
        <w:t>0571-88728858</w:t>
      </w:r>
    </w:p>
    <w:p>
      <w:pPr>
        <w:spacing w:line="360" w:lineRule="auto"/>
        <w:rPr>
          <w:rFonts w:ascii="宋体" w:hAnsi="宋体" w:cs="宋体"/>
          <w:sz w:val="24"/>
        </w:rPr>
      </w:pPr>
      <w:r>
        <w:rPr>
          <w:rFonts w:hint="eastAsia" w:ascii="宋体" w:hAnsi="宋体" w:cs="宋体"/>
          <w:sz w:val="24"/>
        </w:rPr>
        <w:t xml:space="preserve">    联 系 人 ：</w:t>
      </w:r>
      <w:r>
        <w:rPr>
          <w:rFonts w:hint="eastAsia" w:ascii="宋体" w:hAnsi="宋体" w:cs="宋体"/>
          <w:color w:val="000000"/>
          <w:sz w:val="24"/>
        </w:rPr>
        <w:t>杜国强</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监督投诉电话：</w:t>
      </w:r>
      <w:r>
        <w:rPr>
          <w:rFonts w:hint="eastAsia" w:ascii="宋体" w:hAnsi="宋体" w:cs="宋体"/>
          <w:color w:val="000000"/>
          <w:sz w:val="24"/>
        </w:rPr>
        <w:t>0571-88728858</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sz w:val="24"/>
        </w:rPr>
      </w:pPr>
      <w:r>
        <w:rPr>
          <w:rFonts w:hint="eastAsia" w:hAnsi="宋体" w:cs="宋体"/>
          <w:sz w:val="24"/>
        </w:rPr>
        <w:t xml:space="preserve">                        </w:t>
      </w:r>
    </w:p>
    <w:p>
      <w:pPr>
        <w:pStyle w:val="32"/>
        <w:spacing w:line="360" w:lineRule="auto"/>
        <w:rPr>
          <w:rFonts w:hAnsi="宋体" w:cs="宋体"/>
          <w:sz w:val="24"/>
        </w:rPr>
      </w:pPr>
    </w:p>
    <w:p>
      <w:pPr>
        <w:pStyle w:val="32"/>
        <w:spacing w:line="360" w:lineRule="auto"/>
        <w:jc w:val="center"/>
        <w:rPr>
          <w:rFonts w:hAnsi="宋体" w:cs="宋体"/>
          <w:b/>
          <w:sz w:val="36"/>
          <w:szCs w:val="20"/>
        </w:rPr>
      </w:pPr>
      <w:r>
        <w:rPr>
          <w:rFonts w:hint="eastAsia" w:hAnsi="宋体" w:cs="宋体"/>
          <w:b/>
          <w:sz w:val="36"/>
          <w:szCs w:val="20"/>
        </w:rPr>
        <w:t>第二部分</w:t>
      </w:r>
      <w:bookmarkEnd w:id="8"/>
      <w:r>
        <w:rPr>
          <w:rFonts w:hint="eastAsia"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标的：</w:t>
            </w:r>
            <w:r>
              <w:rPr>
                <w:rFonts w:hint="eastAsia" w:ascii="宋体" w:hAnsi="宋体" w:cs="Arial"/>
                <w:kern w:val="0"/>
                <w:sz w:val="24"/>
                <w:u w:val="single"/>
              </w:rPr>
              <w:t>汽车租赁服务</w:t>
            </w:r>
            <w:r>
              <w:rPr>
                <w:rFonts w:hint="eastAsia" w:ascii="宋体" w:hAnsi="宋体" w:cs="宋体"/>
                <w:kern w:val="0"/>
                <w:sz w:val="24"/>
              </w:rPr>
              <w:t>，属于</w:t>
            </w:r>
            <w:r>
              <w:rPr>
                <w:rFonts w:hint="eastAsia" w:ascii="宋体" w:hAnsi="宋体" w:cs="Arial"/>
                <w:kern w:val="0"/>
                <w:sz w:val="24"/>
                <w:u w:val="single"/>
              </w:rPr>
              <w:t>租赁和商务服务业</w:t>
            </w:r>
            <w:r>
              <w:rPr>
                <w:rFonts w:hint="eastAsia" w:ascii="宋体" w:hAnsi="宋体"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维修及保养服务、车辆喷涂服务、车辆保险</w:t>
            </w:r>
            <w:r>
              <w:rPr>
                <w:rFonts w:hint="eastAsia" w:ascii="宋体" w:hAnsi="宋体" w:cs="宋体"/>
                <w:sz w:val="24"/>
              </w:rPr>
              <w:t>工作分包。</w:t>
            </w:r>
          </w:p>
          <w:p>
            <w:pPr>
              <w:spacing w:line="360" w:lineRule="auto"/>
              <w:rPr>
                <w:rFonts w:ascii="宋体" w:hAnsi="宋体" w:cs="宋体"/>
                <w:sz w:val="24"/>
              </w:rPr>
            </w:pP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r>
              <w:rPr>
                <w:rFonts w:hint="eastAsia" w:ascii="宋体" w:hAnsi="宋体" w:cs="宋体"/>
                <w:kern w:val="0"/>
                <w:sz w:val="24"/>
              </w:rPr>
              <w:sym w:font="Wingdings" w:char="F0FE"/>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有关本项目实施所需的所有费用（含税费）均计入报价，详见第三部分采购需求-报价要求。</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color w:val="000000"/>
                <w:sz w:val="24"/>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投标人应当在投标截止时间前半小时内将以介质存储的数据电文形式的备份投标文件密封送交到</w:t>
            </w:r>
            <w:r>
              <w:rPr>
                <w:rFonts w:hint="eastAsia" w:ascii="宋体" w:hAnsi="宋体" w:cs="宋体"/>
                <w:b/>
                <w:bCs/>
                <w:color w:val="000000"/>
                <w:sz w:val="24"/>
              </w:rPr>
              <w:t>杭州市公共资源交易中心余杭分中心</w:t>
            </w:r>
            <w:r>
              <w:rPr>
                <w:rFonts w:hint="eastAsia" w:ascii="宋体" w:hAnsi="宋体" w:cs="宋体"/>
                <w:b/>
                <w:color w:val="000000"/>
                <w:kern w:val="0"/>
                <w:sz w:val="24"/>
                <w:u w:val="single"/>
              </w:rPr>
              <w:t xml:space="preserve"> 4  </w:t>
            </w:r>
            <w:r>
              <w:rPr>
                <w:rFonts w:hint="eastAsia" w:ascii="宋体" w:hAnsi="宋体" w:cs="宋体"/>
                <w:b/>
                <w:color w:val="000000"/>
                <w:kern w:val="0"/>
                <w:sz w:val="24"/>
              </w:rPr>
              <w:t xml:space="preserve"> 号开标室</w:t>
            </w:r>
            <w:r>
              <w:rPr>
                <w:rFonts w:hint="eastAsia" w:ascii="宋体" w:hAnsi="宋体" w:cs="宋体"/>
                <w:color w:val="000000"/>
                <w:sz w:val="24"/>
              </w:rPr>
              <w:t>(</w:t>
            </w:r>
            <w:r>
              <w:rPr>
                <w:rFonts w:hint="eastAsia" w:ascii="宋体" w:hAnsi="宋体" w:cs="宋体"/>
                <w:sz w:val="24"/>
              </w:rPr>
              <w:t>浙江省</w:t>
            </w:r>
            <w:r>
              <w:rPr>
                <w:rFonts w:hint="eastAsia" w:ascii="宋体" w:hAnsi="宋体" w:cs="宋体"/>
                <w:color w:val="000000"/>
                <w:sz w:val="24"/>
              </w:rPr>
              <w:t>杭州市余杭区余杭街道凤新路366号瑞鸿大厦六楼)</w:t>
            </w:r>
            <w:r>
              <w:rPr>
                <w:rFonts w:hint="eastAsia" w:ascii="宋体" w:hAnsi="宋体" w:cs="宋体"/>
                <w:color w:val="000000"/>
                <w:kern w:val="0"/>
                <w:sz w:val="24"/>
              </w:rPr>
              <w:t>，逾期送达或未密封将被拒收。</w:t>
            </w:r>
          </w:p>
          <w:p>
            <w:pPr>
              <w:pStyle w:val="32"/>
              <w:spacing w:line="360" w:lineRule="auto"/>
              <w:rPr>
                <w:rFonts w:hAnsi="宋体" w:cs="宋体"/>
                <w:kern w:val="28"/>
                <w:sz w:val="24"/>
              </w:rPr>
            </w:pPr>
            <w:r>
              <w:rPr>
                <w:rFonts w:hint="eastAsia" w:hAnsi="宋体" w:cs="宋体"/>
                <w:b/>
                <w:sz w:val="24"/>
                <w:szCs w:val="24"/>
              </w:rPr>
              <w:t xml:space="preserve">    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 xml:space="preserve">  3.5中小企业信用融资</w:t>
      </w:r>
    </w:p>
    <w:p>
      <w:pPr>
        <w:spacing w:line="360" w:lineRule="auto"/>
        <w:ind w:firstLine="480" w:firstLineChars="200"/>
        <w:rPr>
          <w:rFonts w:ascii="宋体" w:hAnsi="宋体" w:cs="宋体"/>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ind w:firstLine="240" w:firstLineChars="100"/>
        <w:rPr>
          <w:rFonts w:ascii="宋体" w:hAnsi="宋体" w:cs="宋体"/>
          <w:sz w:val="24"/>
        </w:rPr>
      </w:pPr>
      <w:r>
        <w:rPr>
          <w:rFonts w:hint="eastAsia" w:ascii="宋体" w:hAnsi="宋体" w:cs="宋体"/>
          <w:sz w:val="24"/>
        </w:rPr>
        <w:t>3.6平等对待内外资企业和符合条件的破产重整企业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2"/>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4.2.2.1对招标文件提出质疑的，质疑期限为供应商获得招标文件之日或者招标文件公告期限届满之日起计算。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4.2</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571"/>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4.3.4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pPr>
      <w:r>
        <w:rPr>
          <w:rFonts w:hint="eastAsia"/>
        </w:rPr>
        <w:t>投诉书范本及制作说明详见附件3。</w:t>
      </w:r>
    </w:p>
    <w:p>
      <w:pPr>
        <w:pStyle w:val="571"/>
        <w:shd w:val="clear" w:color="auto" w:fill="FFFFFF"/>
        <w:snapToGrid w:val="0"/>
        <w:spacing w:after="240" w:afterAutospacing="0" w:line="360" w:lineRule="auto"/>
        <w:ind w:firstLine="400"/>
        <w:contextualSpacing/>
      </w:pPr>
      <w:r>
        <w:rPr>
          <w:rFonts w:hint="eastAsia"/>
        </w:rPr>
        <w:t>4.4在线质疑、投诉。</w:t>
      </w:r>
    </w:p>
    <w:p>
      <w:pPr>
        <w:pStyle w:val="571"/>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85"/>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rPr>
        <w:t>11.2.7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但采购人、采购机构不强制或变相强制投标人提交备份投标文件。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hAnsi="宋体" w:cs="宋体"/>
          <w:b/>
          <w:sz w:val="24"/>
          <w:szCs w:val="24"/>
        </w:rPr>
      </w:pPr>
      <w:r>
        <w:rPr>
          <w:rFonts w:hint="eastAsia" w:hAnsi="宋体" w:cs="宋体"/>
          <w:b/>
          <w:sz w:val="24"/>
          <w:szCs w:val="24"/>
        </w:rPr>
        <w:t>15.4投标人仅提交备份投标文件，未在电子交易平台传输递交投标文件的，投标无效。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68057669"/>
      <w:bookmarkEnd w:id="16"/>
      <w:bookmarkStart w:id="17" w:name="_Hlt68403820"/>
      <w:bookmarkEnd w:id="17"/>
      <w:bookmarkStart w:id="18" w:name="_Hlt74729768"/>
      <w:bookmarkEnd w:id="18"/>
      <w:bookmarkStart w:id="19" w:name="_Hlt74714665"/>
      <w:bookmarkEnd w:id="19"/>
      <w:bookmarkStart w:id="20" w:name="_Hlt68072990"/>
      <w:bookmarkEnd w:id="20"/>
      <w:bookmarkStart w:id="21" w:name="_Hlt68073093"/>
      <w:bookmarkEnd w:id="21"/>
      <w:bookmarkStart w:id="22" w:name="_Hlt74730295"/>
      <w:bookmarkEnd w:id="22"/>
      <w:bookmarkStart w:id="23" w:name="_Hlt68072998"/>
      <w:bookmarkEnd w:id="23"/>
      <w:bookmarkStart w:id="24" w:name="_Hlt74707468"/>
      <w:bookmarkEnd w:id="24"/>
      <w:bookmarkStart w:id="25" w:name="_Hlt75236011"/>
      <w:bookmarkEnd w:id="25"/>
      <w:bookmarkStart w:id="26" w:name="_Hlt75236101"/>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napToGrid w:val="0"/>
        <w:spacing w:line="360" w:lineRule="auto"/>
        <w:jc w:val="left"/>
      </w:pPr>
    </w:p>
    <w:p>
      <w:pPr>
        <w:snapToGrid w:val="0"/>
        <w:spacing w:line="360" w:lineRule="auto"/>
        <w:rPr>
          <w:rFonts w:ascii="宋体" w:hAnsi="宋体" w:cs="宋体"/>
          <w:b/>
          <w:sz w:val="24"/>
          <w:szCs w:val="22"/>
        </w:rPr>
      </w:pPr>
      <w:bookmarkStart w:id="28" w:name="_Toc342633574"/>
      <w:r>
        <w:rPr>
          <w:rFonts w:hint="eastAsia" w:ascii="宋体" w:hAnsi="宋体" w:cs="宋体"/>
          <w:b/>
          <w:sz w:val="24"/>
          <w:szCs w:val="22"/>
        </w:rPr>
        <w:t>一、招标项目概况</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为保障闲林</w:t>
      </w:r>
      <w:r>
        <w:rPr>
          <w:rFonts w:ascii="宋体" w:hAnsi="宋体" w:cs="宋体"/>
          <w:sz w:val="24"/>
          <w:szCs w:val="22"/>
        </w:rPr>
        <w:t>街道</w:t>
      </w:r>
      <w:r>
        <w:rPr>
          <w:rFonts w:hint="eastAsia" w:ascii="宋体" w:hAnsi="宋体" w:cs="宋体"/>
          <w:sz w:val="24"/>
          <w:szCs w:val="22"/>
        </w:rPr>
        <w:t>辖区内综合治理执勤</w:t>
      </w:r>
      <w:r>
        <w:rPr>
          <w:rFonts w:ascii="宋体" w:hAnsi="宋体" w:cs="宋体"/>
          <w:sz w:val="24"/>
          <w:szCs w:val="22"/>
        </w:rPr>
        <w:t>公务</w:t>
      </w:r>
      <w:r>
        <w:rPr>
          <w:rFonts w:hint="eastAsia" w:ascii="宋体" w:hAnsi="宋体" w:cs="宋体"/>
          <w:sz w:val="24"/>
          <w:szCs w:val="22"/>
        </w:rPr>
        <w:t>用车需要，街道拟向经主管部门备案的汽车租赁企业租赁34辆公务执勤车，主要用于闲林街道范围以内的日常巡逻、执法及应急保障。</w:t>
      </w:r>
    </w:p>
    <w:p>
      <w:pPr>
        <w:snapToGrid w:val="0"/>
        <w:spacing w:line="360" w:lineRule="auto"/>
        <w:rPr>
          <w:rFonts w:ascii="宋体" w:hAnsi="宋体" w:cs="宋体"/>
          <w:b/>
          <w:sz w:val="24"/>
          <w:szCs w:val="22"/>
        </w:rPr>
      </w:pPr>
      <w:r>
        <w:rPr>
          <w:rFonts w:hint="eastAsia" w:ascii="宋体" w:hAnsi="宋体" w:cs="宋体"/>
          <w:b/>
          <w:sz w:val="24"/>
          <w:szCs w:val="22"/>
        </w:rPr>
        <w:t>二、</w:t>
      </w:r>
      <w:r>
        <w:rPr>
          <w:rFonts w:hint="eastAsia" w:ascii="宋体" w:hAnsi="宋体" w:cs="宋体"/>
          <w:b/>
          <w:sz w:val="24"/>
        </w:rPr>
        <w:t>项目采购要求</w:t>
      </w:r>
    </w:p>
    <w:p>
      <w:pPr>
        <w:spacing w:line="360" w:lineRule="auto"/>
        <w:rPr>
          <w:rFonts w:ascii="宋体" w:hAnsi="宋体" w:cs="宋体"/>
          <w:sz w:val="24"/>
        </w:rPr>
      </w:pPr>
      <w:r>
        <w:rPr>
          <w:rFonts w:hint="eastAsia" w:ascii="宋体" w:hAnsi="宋体" w:cs="宋体"/>
          <w:sz w:val="24"/>
        </w:rPr>
        <w:t>1．</w:t>
      </w:r>
      <w:bookmarkEnd w:id="28"/>
      <w:r>
        <w:rPr>
          <w:rFonts w:hint="eastAsia" w:ascii="宋体" w:hAnsi="宋体" w:cs="宋体"/>
          <w:sz w:val="24"/>
        </w:rPr>
        <w:t>车辆基本要求</w:t>
      </w:r>
    </w:p>
    <w:tbl>
      <w:tblPr>
        <w:tblStyle w:val="62"/>
        <w:tblpPr w:leftFromText="180" w:rightFromText="180" w:vertAnchor="text" w:horzAnchor="page" w:tblpX="1723" w:tblpY="4"/>
        <w:tblOverlap w:val="never"/>
        <w:tblW w:w="8490"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375"/>
        <w:gridCol w:w="1335"/>
        <w:gridCol w:w="1170"/>
        <w:gridCol w:w="1410"/>
        <w:gridCol w:w="975"/>
        <w:gridCol w:w="1530"/>
        <w:gridCol w:w="1695"/>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42" w:hRule="atLeast"/>
        </w:trPr>
        <w:tc>
          <w:tcPr>
            <w:tcW w:w="375" w:type="dxa"/>
            <w:tcBorders>
              <w:top w:val="single" w:color="auto" w:sz="4" w:space="0"/>
            </w:tcBorders>
            <w:vAlign w:val="center"/>
          </w:tcPr>
          <w:p>
            <w:pPr>
              <w:spacing w:line="360" w:lineRule="auto"/>
              <w:jc w:val="center"/>
              <w:rPr>
                <w:rFonts w:ascii="宋体" w:hAnsi="宋体" w:cs="华文仿宋"/>
                <w:b/>
                <w:szCs w:val="21"/>
              </w:rPr>
            </w:pPr>
            <w:r>
              <w:rPr>
                <w:rFonts w:hint="eastAsia" w:ascii="宋体" w:hAnsi="宋体" w:cs="华文仿宋"/>
                <w:b/>
                <w:szCs w:val="21"/>
              </w:rPr>
              <w:t>序号</w:t>
            </w:r>
          </w:p>
        </w:tc>
        <w:tc>
          <w:tcPr>
            <w:tcW w:w="1335" w:type="dxa"/>
            <w:tcBorders>
              <w:top w:val="single" w:color="auto" w:sz="4" w:space="0"/>
            </w:tcBorders>
            <w:vAlign w:val="center"/>
          </w:tcPr>
          <w:p>
            <w:pPr>
              <w:snapToGrid w:val="0"/>
              <w:spacing w:line="360" w:lineRule="auto"/>
              <w:jc w:val="center"/>
              <w:rPr>
                <w:rFonts w:ascii="宋体" w:hAnsi="宋体" w:cs="华文仿宋"/>
                <w:b/>
                <w:bCs/>
                <w:szCs w:val="21"/>
              </w:rPr>
            </w:pPr>
            <w:r>
              <w:rPr>
                <w:rFonts w:hint="eastAsia" w:ascii="宋体" w:hAnsi="宋体" w:cs="华文仿宋"/>
                <w:b/>
                <w:bCs/>
                <w:szCs w:val="21"/>
              </w:rPr>
              <w:t>车型</w:t>
            </w:r>
          </w:p>
        </w:tc>
        <w:tc>
          <w:tcPr>
            <w:tcW w:w="1170" w:type="dxa"/>
            <w:tcBorders>
              <w:top w:val="single" w:color="auto" w:sz="4" w:space="0"/>
            </w:tcBorders>
            <w:vAlign w:val="center"/>
          </w:tcPr>
          <w:p>
            <w:pPr>
              <w:snapToGrid w:val="0"/>
              <w:spacing w:line="360" w:lineRule="auto"/>
              <w:jc w:val="center"/>
              <w:rPr>
                <w:rFonts w:ascii="宋体" w:hAnsi="宋体" w:cs="华文仿宋"/>
                <w:b/>
                <w:bCs/>
                <w:szCs w:val="21"/>
              </w:rPr>
            </w:pPr>
            <w:r>
              <w:rPr>
                <w:rFonts w:hint="eastAsia" w:ascii="宋体" w:hAnsi="宋体" w:cs="华文仿宋"/>
                <w:b/>
                <w:bCs/>
                <w:szCs w:val="21"/>
              </w:rPr>
              <w:t>预算</w:t>
            </w:r>
          </w:p>
          <w:p>
            <w:pPr>
              <w:snapToGrid w:val="0"/>
              <w:spacing w:line="360" w:lineRule="auto"/>
              <w:jc w:val="center"/>
              <w:rPr>
                <w:rFonts w:ascii="宋体" w:hAnsi="宋体" w:cs="华文仿宋"/>
                <w:b/>
                <w:bCs/>
                <w:szCs w:val="21"/>
              </w:rPr>
            </w:pPr>
            <w:r>
              <w:rPr>
                <w:rFonts w:hint="eastAsia" w:ascii="宋体" w:hAnsi="宋体" w:cs="华文仿宋"/>
                <w:b/>
                <w:bCs/>
                <w:szCs w:val="21"/>
              </w:rPr>
              <w:t>金额</w:t>
            </w:r>
          </w:p>
          <w:p>
            <w:pPr>
              <w:snapToGrid w:val="0"/>
              <w:spacing w:line="360" w:lineRule="auto"/>
              <w:jc w:val="center"/>
              <w:rPr>
                <w:rFonts w:ascii="宋体" w:hAnsi="宋体" w:cs="华文仿宋"/>
                <w:b/>
                <w:bCs/>
                <w:szCs w:val="21"/>
              </w:rPr>
            </w:pPr>
            <w:r>
              <w:rPr>
                <w:rFonts w:hint="eastAsia" w:ascii="宋体" w:hAnsi="宋体" w:cs="华文仿宋"/>
                <w:b/>
                <w:bCs/>
                <w:szCs w:val="21"/>
              </w:rPr>
              <w:t>（万元）</w:t>
            </w:r>
          </w:p>
        </w:tc>
        <w:tc>
          <w:tcPr>
            <w:tcW w:w="1410" w:type="dxa"/>
            <w:tcBorders>
              <w:top w:val="single" w:color="auto" w:sz="4" w:space="0"/>
            </w:tcBorders>
            <w:vAlign w:val="center"/>
          </w:tcPr>
          <w:p>
            <w:pPr>
              <w:snapToGrid w:val="0"/>
              <w:spacing w:line="360" w:lineRule="auto"/>
              <w:ind w:left="30" w:hanging="30" w:hangingChars="14"/>
              <w:jc w:val="center"/>
              <w:rPr>
                <w:rFonts w:ascii="宋体" w:hAnsi="宋体" w:cs="华文仿宋"/>
                <w:b/>
                <w:szCs w:val="21"/>
              </w:rPr>
            </w:pPr>
            <w:r>
              <w:rPr>
                <w:rFonts w:hint="eastAsia" w:ascii="宋体" w:hAnsi="宋体" w:cs="华文仿宋"/>
                <w:b/>
                <w:szCs w:val="21"/>
              </w:rPr>
              <w:t>数量（辆）</w:t>
            </w:r>
          </w:p>
        </w:tc>
        <w:tc>
          <w:tcPr>
            <w:tcW w:w="975" w:type="dxa"/>
            <w:tcBorders>
              <w:top w:val="single" w:color="auto" w:sz="4" w:space="0"/>
            </w:tcBorders>
            <w:vAlign w:val="center"/>
          </w:tcPr>
          <w:p>
            <w:pPr>
              <w:snapToGrid w:val="0"/>
              <w:spacing w:line="360" w:lineRule="auto"/>
              <w:jc w:val="center"/>
              <w:rPr>
                <w:rFonts w:ascii="宋体" w:hAnsi="宋体" w:cs="华文仿宋"/>
                <w:b/>
                <w:bCs/>
                <w:szCs w:val="21"/>
              </w:rPr>
            </w:pPr>
            <w:r>
              <w:rPr>
                <w:rFonts w:hint="eastAsia" w:ascii="宋体" w:hAnsi="宋体" w:cs="华文仿宋"/>
                <w:b/>
                <w:bCs/>
                <w:szCs w:val="21"/>
              </w:rPr>
              <w:t>中标人</w:t>
            </w:r>
          </w:p>
          <w:p>
            <w:pPr>
              <w:snapToGrid w:val="0"/>
              <w:spacing w:line="360" w:lineRule="auto"/>
              <w:jc w:val="center"/>
              <w:rPr>
                <w:rFonts w:ascii="宋体" w:hAnsi="宋体" w:cs="华文仿宋"/>
                <w:b/>
                <w:bCs/>
                <w:szCs w:val="21"/>
              </w:rPr>
            </w:pPr>
            <w:r>
              <w:rPr>
                <w:rFonts w:hint="eastAsia" w:ascii="宋体" w:hAnsi="宋体" w:cs="华文仿宋"/>
                <w:b/>
                <w:bCs/>
                <w:szCs w:val="21"/>
              </w:rPr>
              <w:t>数量</w:t>
            </w:r>
          </w:p>
        </w:tc>
        <w:tc>
          <w:tcPr>
            <w:tcW w:w="1530" w:type="dxa"/>
            <w:tcBorders>
              <w:top w:val="single" w:color="auto" w:sz="4" w:space="0"/>
            </w:tcBorders>
            <w:vAlign w:val="center"/>
          </w:tcPr>
          <w:p>
            <w:pPr>
              <w:snapToGrid w:val="0"/>
              <w:spacing w:line="360" w:lineRule="auto"/>
              <w:jc w:val="center"/>
              <w:rPr>
                <w:rFonts w:ascii="宋体" w:hAnsi="宋体" w:cs="华文仿宋"/>
                <w:b/>
                <w:bCs/>
                <w:szCs w:val="21"/>
              </w:rPr>
            </w:pPr>
            <w:r>
              <w:rPr>
                <w:rFonts w:hint="eastAsia" w:ascii="宋体" w:hAnsi="宋体" w:cs="华文仿宋"/>
                <w:b/>
                <w:kern w:val="0"/>
                <w:szCs w:val="21"/>
              </w:rPr>
              <w:t>服务范围</w:t>
            </w:r>
          </w:p>
        </w:tc>
        <w:tc>
          <w:tcPr>
            <w:tcW w:w="1695" w:type="dxa"/>
            <w:tcBorders>
              <w:top w:val="single" w:color="auto" w:sz="4" w:space="0"/>
            </w:tcBorders>
            <w:vAlign w:val="center"/>
          </w:tcPr>
          <w:p>
            <w:pPr>
              <w:snapToGrid w:val="0"/>
              <w:spacing w:line="360" w:lineRule="auto"/>
              <w:jc w:val="center"/>
              <w:rPr>
                <w:rFonts w:ascii="宋体" w:hAnsi="宋体" w:cs="华文仿宋"/>
                <w:b/>
                <w:bCs/>
                <w:szCs w:val="21"/>
              </w:rPr>
            </w:pPr>
            <w:r>
              <w:rPr>
                <w:rFonts w:hint="eastAsia" w:ascii="宋体" w:hAnsi="宋体" w:cs="华文仿宋"/>
                <w:b/>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2725" w:hRule="atLeast"/>
        </w:trPr>
        <w:tc>
          <w:tcPr>
            <w:tcW w:w="375" w:type="dxa"/>
            <w:tcBorders>
              <w:top w:val="single" w:color="auto" w:sz="4" w:space="0"/>
              <w:bottom w:val="single" w:color="auto" w:sz="4" w:space="0"/>
            </w:tcBorders>
            <w:vAlign w:val="center"/>
          </w:tcPr>
          <w:p>
            <w:pPr>
              <w:spacing w:after="120" w:afterLines="50" w:line="360" w:lineRule="auto"/>
              <w:jc w:val="center"/>
              <w:rPr>
                <w:rFonts w:ascii="宋体" w:hAnsi="宋体" w:cs="华文仿宋"/>
                <w:szCs w:val="21"/>
              </w:rPr>
            </w:pPr>
            <w:r>
              <w:rPr>
                <w:rFonts w:hint="eastAsia" w:ascii="宋体" w:hAnsi="宋体" w:cs="华文仿宋"/>
                <w:szCs w:val="21"/>
              </w:rPr>
              <w:t xml:space="preserve">1 </w:t>
            </w:r>
          </w:p>
        </w:tc>
        <w:tc>
          <w:tcPr>
            <w:tcW w:w="1335" w:type="dxa"/>
            <w:vAlign w:val="center"/>
          </w:tcPr>
          <w:p>
            <w:pPr>
              <w:snapToGrid w:val="0"/>
              <w:spacing w:line="360" w:lineRule="auto"/>
              <w:jc w:val="center"/>
              <w:rPr>
                <w:rFonts w:ascii="宋体" w:hAnsi="宋体" w:cs="华文仿宋"/>
                <w:bCs/>
                <w:szCs w:val="21"/>
              </w:rPr>
            </w:pPr>
            <w:r>
              <w:rPr>
                <w:rFonts w:hint="eastAsia" w:ascii="宋体" w:hAnsi="宋体" w:cs="华文仿宋"/>
                <w:bCs/>
                <w:szCs w:val="21"/>
              </w:rPr>
              <w:t>5座新能源纯电动汽车</w:t>
            </w:r>
          </w:p>
        </w:tc>
        <w:tc>
          <w:tcPr>
            <w:tcW w:w="1170" w:type="dxa"/>
            <w:vAlign w:val="center"/>
          </w:tcPr>
          <w:p>
            <w:pPr>
              <w:snapToGrid w:val="0"/>
              <w:spacing w:line="360" w:lineRule="auto"/>
              <w:jc w:val="left"/>
              <w:rPr>
                <w:rFonts w:ascii="宋体" w:hAnsi="宋体" w:cs="华文仿宋"/>
                <w:bCs/>
                <w:szCs w:val="21"/>
              </w:rPr>
            </w:pPr>
            <w:r>
              <w:rPr>
                <w:rFonts w:hint="eastAsia" w:ascii="宋体" w:hAnsi="宋体" w:cs="华文仿宋"/>
                <w:bCs/>
                <w:szCs w:val="21"/>
              </w:rPr>
              <w:t>本项目最高限价 123万元</w:t>
            </w:r>
          </w:p>
        </w:tc>
        <w:tc>
          <w:tcPr>
            <w:tcW w:w="1410" w:type="dxa"/>
            <w:vAlign w:val="center"/>
          </w:tcPr>
          <w:p>
            <w:pPr>
              <w:snapToGrid w:val="0"/>
              <w:spacing w:line="360" w:lineRule="auto"/>
              <w:jc w:val="left"/>
              <w:rPr>
                <w:rFonts w:ascii="宋体" w:hAnsi="宋体" w:cs="华文仿宋"/>
                <w:bCs/>
                <w:szCs w:val="21"/>
              </w:rPr>
            </w:pPr>
            <w:r>
              <w:rPr>
                <w:rFonts w:hint="eastAsia" w:ascii="宋体" w:hAnsi="宋体" w:cs="华文仿宋"/>
                <w:bCs/>
                <w:szCs w:val="21"/>
              </w:rPr>
              <w:t>34辆</w:t>
            </w:r>
          </w:p>
        </w:tc>
        <w:tc>
          <w:tcPr>
            <w:tcW w:w="975" w:type="dxa"/>
            <w:vAlign w:val="center"/>
          </w:tcPr>
          <w:p>
            <w:pPr>
              <w:snapToGrid w:val="0"/>
              <w:spacing w:line="360" w:lineRule="auto"/>
              <w:jc w:val="center"/>
              <w:rPr>
                <w:rFonts w:ascii="宋体" w:hAnsi="宋体" w:cs="华文仿宋"/>
                <w:bCs/>
                <w:szCs w:val="21"/>
              </w:rPr>
            </w:pPr>
            <w:r>
              <w:rPr>
                <w:rFonts w:hint="eastAsia" w:ascii="宋体" w:hAnsi="宋体" w:cs="华文仿宋"/>
                <w:bCs/>
                <w:szCs w:val="21"/>
              </w:rPr>
              <w:t>1家</w:t>
            </w:r>
          </w:p>
        </w:tc>
        <w:tc>
          <w:tcPr>
            <w:tcW w:w="1530" w:type="dxa"/>
            <w:vAlign w:val="center"/>
          </w:tcPr>
          <w:p>
            <w:pPr>
              <w:snapToGrid w:val="0"/>
              <w:spacing w:line="360" w:lineRule="auto"/>
              <w:jc w:val="center"/>
              <w:rPr>
                <w:rFonts w:ascii="宋体" w:hAnsi="宋体" w:cs="华文仿宋"/>
                <w:bCs/>
                <w:szCs w:val="21"/>
              </w:rPr>
            </w:pPr>
            <w:r>
              <w:rPr>
                <w:rFonts w:hint="eastAsia" w:ascii="宋体" w:hAnsi="宋体" w:cs="华文仿宋"/>
                <w:bCs/>
                <w:szCs w:val="21"/>
              </w:rPr>
              <w:t>日常巡逻、执法及应急保障用车，车辆使用区域只限于闲林街道范围以内</w:t>
            </w:r>
          </w:p>
        </w:tc>
        <w:tc>
          <w:tcPr>
            <w:tcW w:w="1695" w:type="dxa"/>
            <w:vAlign w:val="center"/>
          </w:tcPr>
          <w:p>
            <w:pPr>
              <w:snapToGrid w:val="0"/>
              <w:spacing w:line="360" w:lineRule="auto"/>
              <w:jc w:val="left"/>
              <w:rPr>
                <w:rFonts w:ascii="宋体" w:hAnsi="宋体" w:cs="华文仿宋"/>
                <w:bCs/>
                <w:szCs w:val="21"/>
              </w:rPr>
            </w:pPr>
            <w:r>
              <w:rPr>
                <w:rFonts w:hint="eastAsia" w:ascii="宋体" w:hAnsi="宋体" w:cs="华文仿宋"/>
                <w:bCs/>
                <w:szCs w:val="21"/>
              </w:rPr>
              <w:t>本合同期限为1年。合作期内任何一方不得擅自停止协议，否则应负担所造成的一切损失。</w:t>
            </w:r>
          </w:p>
        </w:tc>
      </w:tr>
    </w:tbl>
    <w:p>
      <w:pPr>
        <w:spacing w:line="360" w:lineRule="auto"/>
        <w:rPr>
          <w:rFonts w:ascii="宋体" w:hAnsi="宋体" w:cs="宋体"/>
          <w:sz w:val="24"/>
        </w:rPr>
      </w:pPr>
      <w:r>
        <w:rPr>
          <w:rFonts w:hint="eastAsia" w:ascii="仿宋" w:hAnsi="仿宋" w:eastAsia="仿宋" w:cs="仿宋"/>
          <w:sz w:val="24"/>
        </w:rPr>
        <w:t>▲</w:t>
      </w:r>
      <w:r>
        <w:rPr>
          <w:rFonts w:hint="eastAsia" w:ascii="宋体" w:hAnsi="宋体" w:cs="宋体"/>
          <w:sz w:val="24"/>
        </w:rPr>
        <w:t>（1）车辆总数量必须达到34辆，且为新能源纯电动汽车，续航里程≥300公里。</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（2）汽车等级、制动器类型要求：5座自动挡三厢轿车必须达到A级(紧凑型车)及以上。5座自动挡三厢轿车轴距(mm)≥2650；5座自动挡三厢轿车制动器类型：前后全部盘式（碟刹）。</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 xml:space="preserve">（3） 承诺提供租赁的车辆使用期限不超过1460天（按行驶证登记日期开始至投标截止时间≤1460天）且公里数不超过60000公里(截止到投标截止时间)；投标文件中需提供行驶证复印件、里程表图片且拍摄的图片有日期显示（交车后采购人有权委托第三方检测机构对交付的车辆进行相关检测。如有弄虚作假行为，采购人将上报至同级政府采购监督管理部门。）；租赁的车辆要求全为杭州本地牌照，车辆没有重大维修记录和事故记录。交车时提供租赁车辆有效的随车证件（行驶证、随车标志、使用说明书、维修保养手册等）。 </w:t>
      </w:r>
    </w:p>
    <w:p>
      <w:pPr>
        <w:spacing w:line="360" w:lineRule="auto"/>
        <w:rPr>
          <w:rFonts w:ascii="宋体" w:hAnsi="宋体" w:cs="宋体"/>
          <w:sz w:val="24"/>
        </w:rPr>
      </w:pPr>
      <w:r>
        <w:rPr>
          <w:rFonts w:hint="eastAsia" w:ascii="宋体" w:hAnsi="宋体" w:cs="宋体"/>
          <w:sz w:val="24"/>
        </w:rPr>
        <w:t>●（4）车身颜色：白色。</w:t>
      </w:r>
    </w:p>
    <w:p>
      <w:pPr>
        <w:spacing w:line="360" w:lineRule="auto"/>
        <w:rPr>
          <w:rFonts w:ascii="宋体" w:hAnsi="宋体" w:cs="宋体"/>
          <w:sz w:val="24"/>
        </w:rPr>
      </w:pPr>
      <w:r>
        <w:rPr>
          <w:rFonts w:hint="eastAsia" w:ascii="宋体" w:hAnsi="宋体" w:cs="宋体"/>
          <w:sz w:val="24"/>
        </w:rPr>
        <w:t>（5）车辆公路运输属性：纯电动非营运车辆。</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（6）喷涂、车贴：34辆均需喷涂“公务用车、监督电话88681234”标识，其中3辆警车前排左右两侧喷涂“余杭交警”前引擎盖喷“余杭交警”，2辆前后门两侧喷涂“应急管理”和前引擎盖喷“应急管理”。</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（7）安装警铃、警笛：3辆，车顶安装长排红蓝警灯，带警笛。</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（8）车钥匙：2个/每辆</w:t>
      </w:r>
    </w:p>
    <w:p>
      <w:pPr>
        <w:spacing w:line="360" w:lineRule="auto"/>
        <w:rPr>
          <w:rFonts w:ascii="宋体" w:hAnsi="宋体" w:cs="宋体"/>
          <w:sz w:val="24"/>
        </w:rPr>
      </w:pPr>
      <w:r>
        <w:rPr>
          <w:rFonts w:hint="eastAsia" w:ascii="宋体" w:hAnsi="宋体" w:cs="仿宋"/>
          <w:sz w:val="24"/>
        </w:rPr>
        <w:t>●</w:t>
      </w:r>
      <w:r>
        <w:rPr>
          <w:rFonts w:hint="eastAsia" w:ascii="宋体" w:hAnsi="宋体" w:cs="宋体"/>
          <w:sz w:val="24"/>
        </w:rPr>
        <w:t>（9）车辆质保：≥10万公里</w:t>
      </w:r>
    </w:p>
    <w:p>
      <w:pPr>
        <w:spacing w:line="360" w:lineRule="auto"/>
      </w:pPr>
      <w:r>
        <w:rPr>
          <w:rFonts w:hint="eastAsia" w:ascii="仿宋" w:hAnsi="仿宋" w:eastAsia="仿宋" w:cs="仿宋"/>
          <w:sz w:val="24"/>
        </w:rPr>
        <w:t>▲</w:t>
      </w:r>
      <w:r>
        <w:rPr>
          <w:rFonts w:hint="eastAsia" w:ascii="宋体" w:hAnsi="宋体" w:cs="宋体"/>
          <w:sz w:val="24"/>
        </w:rPr>
        <w:t>（10）投标单位报价应包含车辆12个月的全部费用，包括租赁费用、GPS安装与使用服务费用、车辆贴膜费用、车辆喷涂车贴费用、警铃安装费用、轮胎修补及更换费用、行车记录仪、保险费用（覆盖全部险种，包括交强险、车损险、第三者责任保险（≥150万）、车上人员险）、维修及保养费用、年审费用、车辆折旧费、管理费、各种税费等一切费用。</w:t>
      </w:r>
    </w:p>
    <w:p>
      <w:pPr>
        <w:keepNext/>
        <w:keepLines/>
        <w:tabs>
          <w:tab w:val="left" w:pos="432"/>
        </w:tabs>
        <w:adjustRightInd/>
        <w:spacing w:line="360" w:lineRule="auto"/>
        <w:jc w:val="left"/>
        <w:outlineLvl w:val="1"/>
        <w:rPr>
          <w:rFonts w:ascii="宋体" w:hAnsi="宋体" w:cs="宋体"/>
          <w:sz w:val="24"/>
        </w:rPr>
      </w:pPr>
      <w:r>
        <w:rPr>
          <w:rFonts w:hint="eastAsia" w:ascii="宋体" w:hAnsi="宋体" w:cs="宋体"/>
          <w:sz w:val="24"/>
        </w:rPr>
        <w:t>（11）其他：车辆无违章、违法、及法律纠纷。</w:t>
      </w:r>
    </w:p>
    <w:p>
      <w:pPr>
        <w:spacing w:line="360" w:lineRule="auto"/>
        <w:rPr>
          <w:rFonts w:ascii="宋体" w:hAnsi="宋体" w:cs="宋体"/>
          <w:sz w:val="24"/>
        </w:rPr>
      </w:pPr>
      <w:r>
        <w:rPr>
          <w:rFonts w:hint="eastAsia" w:ascii="宋体" w:hAnsi="宋体" w:cs="宋体"/>
          <w:sz w:val="24"/>
        </w:rPr>
        <w:t>2.服务要求</w:t>
      </w:r>
    </w:p>
    <w:p>
      <w:pPr>
        <w:spacing w:line="360" w:lineRule="auto"/>
        <w:rPr>
          <w:rFonts w:ascii="宋体" w:hAnsi="宋体" w:cs="宋体"/>
          <w:sz w:val="24"/>
        </w:rPr>
      </w:pPr>
      <w:r>
        <w:rPr>
          <w:rFonts w:hint="eastAsia" w:ascii="宋体" w:hAnsi="宋体" w:cs="宋体"/>
          <w:sz w:val="24"/>
        </w:rPr>
        <w:t>（1）</w:t>
      </w:r>
      <w:r>
        <w:rPr>
          <w:rFonts w:hint="eastAsia" w:ascii="宋体" w:hAnsi="宋体" w:cs="宋体"/>
          <w:snapToGrid w:val="0"/>
          <w:kern w:val="0"/>
          <w:sz w:val="24"/>
        </w:rPr>
        <w:t>车辆数字化管理要求：</w:t>
      </w:r>
      <w:r>
        <w:rPr>
          <w:rFonts w:hint="eastAsia" w:ascii="宋体" w:hAnsi="宋体" w:cs="宋体"/>
          <w:sz w:val="24"/>
        </w:rPr>
        <w:t>供应商</w:t>
      </w:r>
      <w:r>
        <w:rPr>
          <w:rFonts w:hint="eastAsia" w:ascii="宋体" w:hAnsi="宋体" w:cs="宋体"/>
          <w:snapToGrid w:val="0"/>
          <w:kern w:val="0"/>
          <w:sz w:val="24"/>
        </w:rPr>
        <w:t>提供的所有出租车辆必须须符合国家标准和行业标准或国际标准，</w:t>
      </w:r>
      <w:r>
        <w:rPr>
          <w:rFonts w:hint="eastAsia" w:ascii="宋体" w:hAnsi="宋体" w:cs="宋体"/>
          <w:sz w:val="24"/>
        </w:rPr>
        <w:t>供应商</w:t>
      </w:r>
      <w:r>
        <w:rPr>
          <w:rFonts w:hint="eastAsia" w:ascii="宋体" w:hAnsi="宋体" w:cs="宋体"/>
          <w:snapToGrid w:val="0"/>
          <w:kern w:val="0"/>
          <w:sz w:val="24"/>
        </w:rPr>
        <w:t>需配备数字化管理平台，功能包括：</w:t>
      </w:r>
      <w:r>
        <w:rPr>
          <w:rFonts w:ascii="宋体" w:hAnsi="宋体" w:cs="宋体"/>
          <w:sz w:val="24"/>
        </w:rPr>
        <w:t>车辆GPS定位功能，并建有车辆离线围栏（车辆超出使用区域范围报警系统）</w:t>
      </w:r>
      <w:r>
        <w:rPr>
          <w:rFonts w:hint="eastAsia" w:ascii="宋体" w:hAnsi="宋体" w:cs="宋体"/>
          <w:sz w:val="24"/>
        </w:rPr>
        <w:t>功能、建有</w:t>
      </w:r>
      <w:r>
        <w:rPr>
          <w:rFonts w:ascii="宋体" w:hAnsi="宋体" w:cs="宋体"/>
          <w:sz w:val="24"/>
        </w:rPr>
        <w:t>用车预约报备功能</w:t>
      </w:r>
      <w:r>
        <w:rPr>
          <w:rFonts w:hint="eastAsia" w:ascii="宋体" w:hAnsi="宋体" w:cs="宋体"/>
          <w:sz w:val="24"/>
        </w:rPr>
        <w:t>、建有</w:t>
      </w:r>
      <w:r>
        <w:rPr>
          <w:rFonts w:ascii="宋体" w:hAnsi="宋体" w:cs="宋体"/>
          <w:sz w:val="24"/>
        </w:rPr>
        <w:t>充电时间</w:t>
      </w:r>
      <w:r>
        <w:rPr>
          <w:rFonts w:hint="eastAsia" w:ascii="宋体" w:hAnsi="宋体" w:cs="宋体"/>
          <w:sz w:val="24"/>
        </w:rPr>
        <w:t>及</w:t>
      </w:r>
      <w:r>
        <w:rPr>
          <w:rFonts w:ascii="宋体" w:hAnsi="宋体" w:cs="宋体"/>
          <w:sz w:val="24"/>
        </w:rPr>
        <w:t>充电量管理</w:t>
      </w:r>
      <w:r>
        <w:rPr>
          <w:rFonts w:hint="eastAsia" w:ascii="宋体" w:hAnsi="宋体" w:cs="宋体"/>
          <w:sz w:val="24"/>
        </w:rPr>
        <w:t>监测、建有</w:t>
      </w:r>
      <w:r>
        <w:rPr>
          <w:rFonts w:ascii="宋体" w:hAnsi="宋体" w:cs="宋体"/>
          <w:sz w:val="24"/>
        </w:rPr>
        <w:t>实时查看用车车辆情况日报表</w:t>
      </w:r>
      <w:r>
        <w:rPr>
          <w:rFonts w:hint="eastAsia" w:ascii="宋体" w:hAnsi="宋体" w:cs="宋体"/>
          <w:sz w:val="24"/>
        </w:rPr>
        <w:t>功能。系统</w:t>
      </w:r>
      <w:r>
        <w:rPr>
          <w:rFonts w:ascii="宋体" w:hAnsi="宋体" w:cs="宋体"/>
          <w:sz w:val="24"/>
        </w:rPr>
        <w:t>免费供采购方</w:t>
      </w:r>
      <w:r>
        <w:rPr>
          <w:rFonts w:hint="eastAsia" w:ascii="宋体" w:hAnsi="宋体" w:cs="宋体"/>
          <w:sz w:val="24"/>
        </w:rPr>
        <w:t>使用，采购人享有管理权限（供应商和厂商不得泄露信息，否则依法追究相关责任）。（须提供系统拥有人证明材料和系统各功能运行截图并加盖公章）</w:t>
      </w:r>
    </w:p>
    <w:p>
      <w:pPr>
        <w:spacing w:line="360" w:lineRule="auto"/>
        <w:rPr>
          <w:rFonts w:ascii="宋体" w:hAnsi="宋体" w:cs="宋体"/>
          <w:sz w:val="24"/>
        </w:rPr>
      </w:pPr>
      <w:r>
        <w:rPr>
          <w:rFonts w:hint="eastAsia" w:ascii="宋体" w:hAnsi="宋体" w:cs="宋体"/>
          <w:sz w:val="24"/>
        </w:rPr>
        <w:t>（2）供应商须按照需求内容提供符合要求的车型数量并提供所要求的相关服务。汽车租赁服务必须符合国家规定。</w:t>
      </w:r>
    </w:p>
    <w:p>
      <w:pPr>
        <w:spacing w:line="360" w:lineRule="auto"/>
        <w:rPr>
          <w:rFonts w:ascii="宋体" w:hAnsi="宋体" w:cs="宋体"/>
          <w:sz w:val="24"/>
        </w:rPr>
      </w:pPr>
      <w:r>
        <w:rPr>
          <w:rFonts w:hint="eastAsia" w:ascii="宋体" w:hAnsi="宋体" w:cs="宋体"/>
          <w:sz w:val="24"/>
        </w:rPr>
        <w:t>（3）供应商提供的租赁车辆技术性能必须良好状态，各种证照及规费缴讫证齐全，无违章记录。车辆符合安全国家标准，取得机动车检验合格证明，并已经在公安机关交通管理部门办理注册登记。</w:t>
      </w:r>
    </w:p>
    <w:p>
      <w:pPr>
        <w:spacing w:line="360" w:lineRule="auto"/>
        <w:rPr>
          <w:rFonts w:ascii="宋体" w:hAnsi="宋体" w:cs="宋体"/>
          <w:sz w:val="24"/>
        </w:rPr>
      </w:pPr>
      <w:r>
        <w:rPr>
          <w:rFonts w:hint="eastAsia" w:ascii="宋体" w:hAnsi="宋体" w:cs="宋体"/>
          <w:sz w:val="24"/>
        </w:rPr>
        <w:t>（4）当出现交通事故或者意外发生，供应商应赶往现场或者通知相关部门，协助租赁方处理。</w:t>
      </w:r>
    </w:p>
    <w:p>
      <w:pPr>
        <w:spacing w:line="360" w:lineRule="auto"/>
        <w:rPr>
          <w:rFonts w:ascii="宋体" w:hAnsi="宋体" w:cs="宋体"/>
          <w:sz w:val="24"/>
        </w:rPr>
      </w:pPr>
      <w:r>
        <w:rPr>
          <w:rFonts w:hint="eastAsia" w:ascii="宋体" w:hAnsi="宋体" w:cs="宋体"/>
          <w:sz w:val="24"/>
        </w:rPr>
        <w:t>（5）供应商负责租赁期间车辆的正常维护、保养和年审。</w:t>
      </w:r>
    </w:p>
    <w:p>
      <w:pPr>
        <w:spacing w:line="360" w:lineRule="auto"/>
        <w:rPr>
          <w:rFonts w:ascii="宋体" w:hAnsi="宋体" w:cs="宋体"/>
          <w:sz w:val="24"/>
        </w:rPr>
      </w:pPr>
      <w:r>
        <w:rPr>
          <w:rFonts w:hint="eastAsia" w:ascii="宋体" w:hAnsi="宋体" w:cs="宋体"/>
          <w:sz w:val="24"/>
        </w:rPr>
        <w:t>（6）因意外导致车辆的维修，供应商负责协调保险公司核实赔偿。</w:t>
      </w:r>
    </w:p>
    <w:p>
      <w:pPr>
        <w:spacing w:line="360" w:lineRule="auto"/>
        <w:rPr>
          <w:rFonts w:ascii="宋体" w:hAnsi="宋体" w:cs="宋体"/>
          <w:sz w:val="24"/>
        </w:rPr>
      </w:pPr>
      <w:r>
        <w:rPr>
          <w:rFonts w:hint="eastAsia" w:ascii="宋体" w:hAnsi="宋体" w:cs="宋体"/>
          <w:sz w:val="24"/>
        </w:rPr>
        <w:t>（7）租赁期间，车辆因故障不能正常使用时，供应商应及时修理并提供不低于原租赁车辆档次的替代车辆，确保采购人正常用车。</w:t>
      </w:r>
    </w:p>
    <w:p>
      <w:pPr>
        <w:spacing w:line="360" w:lineRule="auto"/>
        <w:rPr>
          <w:rFonts w:ascii="宋体" w:hAnsi="宋体" w:cs="宋体"/>
          <w:sz w:val="24"/>
        </w:rPr>
      </w:pPr>
      <w:r>
        <w:rPr>
          <w:rFonts w:hint="eastAsia" w:ascii="宋体" w:hAnsi="宋体" w:cs="宋体"/>
          <w:sz w:val="24"/>
        </w:rPr>
        <w:t>（8）须配备灭火器等安全设备；安全设备应当放置在便于取用的位置，并确保性能良好、有效适用。</w:t>
      </w:r>
    </w:p>
    <w:p>
      <w:pPr>
        <w:spacing w:line="360" w:lineRule="auto"/>
        <w:rPr>
          <w:rFonts w:ascii="宋体" w:hAnsi="宋体" w:cs="宋体"/>
          <w:sz w:val="24"/>
        </w:rPr>
      </w:pPr>
      <w:r>
        <w:rPr>
          <w:rFonts w:hint="eastAsia" w:ascii="宋体" w:hAnsi="宋体" w:cs="宋体"/>
          <w:sz w:val="24"/>
        </w:rPr>
        <w:t>（9）全车中高档贴膜，供应商承担采购人每台车辆的临时补胎费用。</w:t>
      </w:r>
    </w:p>
    <w:p>
      <w:pPr>
        <w:spacing w:line="360" w:lineRule="auto"/>
        <w:rPr>
          <w:rFonts w:ascii="宋体" w:hAnsi="宋体" w:cs="宋体"/>
          <w:sz w:val="24"/>
        </w:rPr>
      </w:pPr>
      <w:r>
        <w:rPr>
          <w:rFonts w:hint="eastAsia" w:ascii="宋体" w:hAnsi="宋体" w:cs="宋体"/>
          <w:sz w:val="24"/>
        </w:rPr>
        <w:t>（10）租赁期间因国家政策或上级主管部门要求，导致采购人需求变更，采购人有权就租赁时间段进行调整，采购人需至少提前1个月书面向中标供应商提出并附上相关文件说明，且不承担由此产生的后续租车费用。</w:t>
      </w:r>
    </w:p>
    <w:p>
      <w:pPr>
        <w:spacing w:line="360" w:lineRule="auto"/>
        <w:rPr>
          <w:rFonts w:ascii="宋体" w:hAnsi="宋体" w:cs="宋体"/>
          <w:sz w:val="24"/>
        </w:rPr>
      </w:pPr>
      <w:r>
        <w:rPr>
          <w:rFonts w:hint="eastAsia" w:ascii="宋体" w:hAnsi="宋体" w:cs="宋体"/>
          <w:sz w:val="24"/>
        </w:rPr>
        <w:t>（11）其他：</w:t>
      </w:r>
    </w:p>
    <w:p>
      <w:pPr>
        <w:spacing w:line="360" w:lineRule="auto"/>
        <w:rPr>
          <w:rFonts w:ascii="宋体" w:hAnsi="宋体" w:cs="宋体"/>
          <w:sz w:val="24"/>
        </w:rPr>
      </w:pPr>
      <w:r>
        <w:rPr>
          <w:rFonts w:hint="eastAsia" w:ascii="宋体" w:hAnsi="宋体" w:cs="宋体"/>
          <w:sz w:val="24"/>
        </w:rPr>
        <w:t>11.1需提供本市范围内维修保养服务的自有（含合作）网点。</w:t>
      </w:r>
    </w:p>
    <w:p>
      <w:pPr>
        <w:spacing w:line="360" w:lineRule="auto"/>
        <w:rPr>
          <w:rFonts w:ascii="宋体" w:hAnsi="宋体" w:cs="宋体"/>
          <w:sz w:val="24"/>
        </w:rPr>
      </w:pPr>
      <w:r>
        <w:rPr>
          <w:rFonts w:hint="eastAsia" w:ascii="宋体" w:hAnsi="宋体" w:cs="宋体"/>
          <w:sz w:val="24"/>
        </w:rPr>
        <w:t>11.2租赁期间，由供应商负责租赁车辆的年检，如时间超过一个工作日，供应商需提供同等保险同级别替代车。</w:t>
      </w:r>
    </w:p>
    <w:p>
      <w:pPr>
        <w:spacing w:line="360" w:lineRule="auto"/>
        <w:rPr>
          <w:rFonts w:ascii="宋体" w:hAnsi="宋体" w:cs="宋体"/>
          <w:sz w:val="24"/>
        </w:rPr>
      </w:pPr>
      <w:r>
        <w:rPr>
          <w:rFonts w:hint="eastAsia" w:ascii="宋体" w:hAnsi="宋体" w:cs="宋体"/>
          <w:sz w:val="24"/>
        </w:rPr>
        <w:t>11.3租赁期间，供应商应负责车辆维修及配件更换，以保证采购人的正常使用。修理超过两天时，供应商需免费提供同等保险同级别替代车。车辆连续出现2次重大故障，影响采购人使用的，采购人有权要求供应商更换车辆。</w:t>
      </w:r>
    </w:p>
    <w:p>
      <w:pPr>
        <w:spacing w:line="360" w:lineRule="auto"/>
        <w:rPr>
          <w:rFonts w:ascii="宋体" w:hAnsi="宋体" w:cs="宋体"/>
          <w:sz w:val="24"/>
        </w:rPr>
      </w:pPr>
      <w:r>
        <w:rPr>
          <w:rFonts w:hint="eastAsia" w:ascii="宋体" w:hAnsi="宋体" w:cs="宋体"/>
          <w:sz w:val="24"/>
        </w:rPr>
        <w:t>11.4租赁期间供应商提供租赁车辆的免费维修及保养服务（含机油及配件等更换，轮胎按车辆使用的磨损程度或保养手册要求的更换）。保养周期为3个月或5000公里以哪个先到为准或以厂家要求为准。保养应分批进行，不影响采购人的使用。如保养超过两天，需提供同等保险同级别替代车。</w:t>
      </w:r>
    </w:p>
    <w:p>
      <w:pPr>
        <w:spacing w:line="360" w:lineRule="auto"/>
        <w:rPr>
          <w:rFonts w:ascii="宋体" w:hAnsi="宋体" w:cs="宋体"/>
          <w:sz w:val="24"/>
        </w:rPr>
      </w:pPr>
      <w:r>
        <w:rPr>
          <w:rFonts w:hint="eastAsia" w:ascii="宋体" w:hAnsi="宋体" w:cs="宋体"/>
          <w:sz w:val="24"/>
        </w:rPr>
        <w:t>11.5保险理赔范围内的非伤人事故，费用由供应商先行垫付（第三者、伤人费用除外）。有责事故，供应商需安排人员上门一对一协助事故处理，并免费提供同等保险同级别替代车。</w:t>
      </w:r>
    </w:p>
    <w:p>
      <w:pPr>
        <w:spacing w:line="360" w:lineRule="auto"/>
        <w:rPr>
          <w:rFonts w:ascii="宋体" w:hAnsi="宋体" w:cs="宋体"/>
          <w:sz w:val="24"/>
        </w:rPr>
      </w:pPr>
      <w:r>
        <w:rPr>
          <w:rFonts w:hint="eastAsia" w:ascii="宋体" w:hAnsi="宋体" w:cs="宋体"/>
          <w:sz w:val="24"/>
        </w:rPr>
        <w:t>11.6因车辆本身原因导致采购人无法用车，供应商免费提供同等保险同级别的替代车。</w:t>
      </w:r>
    </w:p>
    <w:p>
      <w:pPr>
        <w:spacing w:line="360" w:lineRule="auto"/>
        <w:rPr>
          <w:rFonts w:ascii="宋体" w:hAnsi="宋体" w:cs="宋体"/>
          <w:sz w:val="24"/>
        </w:rPr>
      </w:pPr>
      <w:r>
        <w:rPr>
          <w:rFonts w:hint="eastAsia" w:ascii="宋体" w:hAnsi="宋体" w:cs="宋体"/>
          <w:sz w:val="24"/>
        </w:rPr>
        <w:t>11.7供应商给采购人免费开放所租车辆 GPS 查询权限。</w:t>
      </w:r>
    </w:p>
    <w:p>
      <w:pPr>
        <w:spacing w:line="360" w:lineRule="auto"/>
        <w:rPr>
          <w:rFonts w:ascii="宋体" w:hAnsi="宋体" w:cs="宋体"/>
          <w:sz w:val="24"/>
        </w:rPr>
      </w:pPr>
      <w:r>
        <w:rPr>
          <w:rFonts w:hint="eastAsia" w:ascii="宋体" w:hAnsi="宋体" w:cs="宋体"/>
          <w:sz w:val="24"/>
        </w:rPr>
        <w:t>11.8供应商每月向采购人提供在租车辆的月度管报，内容包括但不限于：维保记录、未处理违章记录、事故记录、巡检记录。中标供应商每月安排给采购人进行一次现场巡检，检查及汇报内容包括但不限于：车辆外观、灯管、刹车、水箱、仪表盘、制动，等等。</w:t>
      </w:r>
    </w:p>
    <w:p>
      <w:pPr>
        <w:spacing w:line="360" w:lineRule="auto"/>
        <w:rPr>
          <w:rFonts w:ascii="宋体" w:hAnsi="宋体" w:cs="宋体"/>
          <w:sz w:val="24"/>
        </w:rPr>
      </w:pPr>
      <w:r>
        <w:rPr>
          <w:rFonts w:hint="eastAsia" w:ascii="宋体" w:hAnsi="宋体" w:cs="宋体"/>
          <w:sz w:val="24"/>
        </w:rPr>
        <w:t xml:space="preserve">11.9供应商至少提供1辆备用车（停放在采购人单位）。 </w:t>
      </w:r>
    </w:p>
    <w:p>
      <w:pPr>
        <w:numPr>
          <w:ilvl w:val="0"/>
          <w:numId w:val="1"/>
        </w:numPr>
        <w:spacing w:line="360" w:lineRule="auto"/>
      </w:pPr>
      <w:r>
        <w:rPr>
          <w:rFonts w:hint="eastAsia" w:ascii="宋体" w:hAnsi="宋体" w:cs="宋体"/>
          <w:sz w:val="24"/>
        </w:rPr>
        <w:t>中标通知书发出且完成合同签订后，供应商应当在7天内车辆提供到位。</w:t>
      </w:r>
    </w:p>
    <w:p>
      <w:pPr>
        <w:spacing w:line="360" w:lineRule="auto"/>
        <w:rPr>
          <w:rFonts w:ascii="宋体" w:hAnsi="宋体" w:cs="宋体"/>
          <w:sz w:val="24"/>
        </w:rPr>
      </w:pPr>
      <w:r>
        <w:rPr>
          <w:rFonts w:hint="eastAsia" w:ascii="宋体" w:hAnsi="宋体" w:cs="宋体"/>
          <w:sz w:val="24"/>
        </w:rPr>
        <w:t>3．服务方案</w:t>
      </w:r>
    </w:p>
    <w:p>
      <w:pPr>
        <w:spacing w:line="360" w:lineRule="auto"/>
        <w:rPr>
          <w:rFonts w:ascii="宋体" w:hAnsi="宋体" w:cs="宋体"/>
          <w:sz w:val="24"/>
        </w:rPr>
      </w:pPr>
      <w:r>
        <w:rPr>
          <w:rFonts w:hint="eastAsia" w:ascii="宋体" w:hAnsi="宋体" w:cs="宋体"/>
          <w:sz w:val="24"/>
        </w:rPr>
        <w:t>（1）车辆保险的配置方案：至少包括①拟投入车辆的保额（第三者责任保险（≥150万））②车辆具体保险配置（覆盖全部险种，包括交强险、车损险、第三者责任保险（≥150万）、车上人员险）。</w:t>
      </w:r>
    </w:p>
    <w:p>
      <w:pPr>
        <w:spacing w:line="360" w:lineRule="auto"/>
        <w:rPr>
          <w:rFonts w:ascii="宋体" w:hAnsi="宋体" w:cs="宋体"/>
          <w:sz w:val="24"/>
        </w:rPr>
      </w:pPr>
      <w:r>
        <w:rPr>
          <w:rFonts w:hint="eastAsia" w:ascii="宋体" w:hAnsi="宋体" w:cs="宋体"/>
          <w:sz w:val="24"/>
        </w:rPr>
        <w:t>（2）供应商管理团队配置方案：至少包括</w:t>
      </w:r>
      <w:r>
        <w:rPr>
          <w:rFonts w:hint="eastAsia" w:ascii="宋体" w:hAnsi="宋体" w:cs="宋体"/>
          <w:sz w:val="24"/>
          <w:lang w:val="zh-CN"/>
        </w:rPr>
        <w:t>①</w:t>
      </w:r>
      <w:r>
        <w:rPr>
          <w:rFonts w:hint="eastAsia" w:ascii="宋体" w:hAnsi="宋体" w:cs="宋体"/>
          <w:sz w:val="24"/>
        </w:rPr>
        <w:t>本项目的管理人员的组织架构；</w:t>
      </w:r>
      <w:r>
        <w:rPr>
          <w:rFonts w:hint="eastAsia" w:ascii="宋体" w:hAnsi="宋体" w:cs="宋体"/>
          <w:sz w:val="24"/>
          <w:lang w:val="zh-CN"/>
        </w:rPr>
        <w:t>②</w:t>
      </w:r>
      <w:r>
        <w:rPr>
          <w:rFonts w:hint="eastAsia" w:ascii="宋体" w:hAnsi="宋体" w:cs="宋体"/>
          <w:sz w:val="24"/>
        </w:rPr>
        <w:t>人员配置方案（至少包括项目负责人、技术负责人、车辆专管员、事故处理联络员、商务专员（含服务监督专员、投诉处理专员）等）；</w:t>
      </w:r>
      <w:r>
        <w:rPr>
          <w:rFonts w:hint="eastAsia" w:ascii="宋体" w:hAnsi="宋体" w:cs="宋体"/>
          <w:sz w:val="24"/>
          <w:lang w:val="zh-CN"/>
        </w:rPr>
        <w:t>③</w:t>
      </w:r>
      <w:r>
        <w:rPr>
          <w:rFonts w:hint="eastAsia" w:ascii="宋体" w:hAnsi="宋体" w:cs="宋体"/>
          <w:sz w:val="24"/>
        </w:rPr>
        <w:t>岗位职责方案（明确岗位负责人、技术负责人、车辆专管员、事故处理联络员、商务专员（含服务监督专员、投诉处理专员）等责任）④投诉受理场所配置⑤服务质量监督方案⑥投诉处理方案。</w:t>
      </w:r>
    </w:p>
    <w:p>
      <w:pPr>
        <w:spacing w:line="360" w:lineRule="auto"/>
        <w:rPr>
          <w:rFonts w:ascii="宋体" w:hAnsi="宋体" w:cs="宋体"/>
          <w:sz w:val="24"/>
        </w:rPr>
      </w:pPr>
      <w:r>
        <w:rPr>
          <w:rFonts w:hint="eastAsia" w:ascii="宋体" w:hAnsi="宋体" w:cs="宋体"/>
          <w:sz w:val="24"/>
        </w:rPr>
        <w:t>（3）车辆故障处理的方案。</w:t>
      </w:r>
    </w:p>
    <w:p>
      <w:pPr>
        <w:spacing w:line="360" w:lineRule="auto"/>
        <w:rPr>
          <w:rFonts w:ascii="宋体" w:hAnsi="宋体" w:cs="宋体"/>
          <w:sz w:val="24"/>
        </w:rPr>
      </w:pPr>
      <w:r>
        <w:rPr>
          <w:rFonts w:hint="eastAsia" w:ascii="宋体" w:hAnsi="宋体" w:cs="宋体"/>
          <w:sz w:val="24"/>
        </w:rPr>
        <w:t>（4）车辆保养的方案：至少包括①拟投入本项目车辆的维修保养制度②具体维修方案③相关维保地点的基本情况介绍等。</w:t>
      </w:r>
    </w:p>
    <w:p>
      <w:pPr>
        <w:spacing w:line="360" w:lineRule="auto"/>
        <w:rPr>
          <w:rFonts w:ascii="宋体" w:hAnsi="宋体" w:cs="宋体"/>
          <w:sz w:val="24"/>
        </w:rPr>
      </w:pPr>
      <w:r>
        <w:rPr>
          <w:rFonts w:hint="eastAsia" w:ascii="宋体" w:hAnsi="宋体" w:cs="宋体"/>
          <w:sz w:val="24"/>
        </w:rPr>
        <w:t>（5）应急保障措施：至少包括①服务期间道路救援②替代车③事故处理④临时用车等方案。</w:t>
      </w:r>
    </w:p>
    <w:p>
      <w:pPr>
        <w:spacing w:line="360" w:lineRule="auto"/>
        <w:rPr>
          <w:rFonts w:ascii="宋体" w:hAnsi="宋体" w:cs="宋体"/>
          <w:sz w:val="24"/>
        </w:rPr>
      </w:pPr>
      <w:r>
        <w:rPr>
          <w:rFonts w:hint="eastAsia" w:ascii="宋体" w:hAnsi="宋体" w:cs="宋体"/>
          <w:sz w:val="24"/>
        </w:rPr>
        <w:t>（6）事故逃生方案：提供合理的事故逃生方案。</w:t>
      </w:r>
    </w:p>
    <w:p>
      <w:pPr>
        <w:spacing w:line="360" w:lineRule="auto"/>
        <w:rPr>
          <w:rFonts w:ascii="宋体" w:hAnsi="宋体" w:cs="宋体"/>
          <w:sz w:val="24"/>
        </w:rPr>
      </w:pPr>
      <w:r>
        <w:rPr>
          <w:rFonts w:hint="eastAsia" w:ascii="宋体" w:hAnsi="宋体" w:cs="宋体"/>
          <w:sz w:val="24"/>
        </w:rPr>
        <w:t>（7）防遗忘方案：提供合理的防遗忘方案。</w:t>
      </w:r>
    </w:p>
    <w:p>
      <w:pPr>
        <w:spacing w:line="360" w:lineRule="auto"/>
        <w:rPr>
          <w:rFonts w:ascii="宋体" w:hAnsi="宋体" w:cs="宋体"/>
          <w:snapToGrid w:val="0"/>
          <w:kern w:val="0"/>
          <w:sz w:val="24"/>
        </w:rPr>
      </w:pPr>
      <w:r>
        <w:rPr>
          <w:rFonts w:hint="eastAsia" w:ascii="宋体" w:hAnsi="宋体" w:cs="宋体"/>
          <w:sz w:val="24"/>
          <w:szCs w:val="20"/>
        </w:rPr>
        <w:t>（8）</w:t>
      </w:r>
      <w:r>
        <w:rPr>
          <w:rFonts w:hint="eastAsia" w:ascii="宋体" w:hAnsi="宋体" w:cs="宋体"/>
          <w:snapToGrid w:val="0"/>
          <w:kern w:val="0"/>
          <w:sz w:val="24"/>
        </w:rPr>
        <w:t>车辆信息建档管理方案：至少包括</w:t>
      </w:r>
      <w:r>
        <w:rPr>
          <w:rFonts w:hint="eastAsia" w:ascii="宋体" w:hAnsi="宋体" w:cs="宋体"/>
          <w:sz w:val="24"/>
          <w:szCs w:val="20"/>
        </w:rPr>
        <w:t>①</w:t>
      </w:r>
      <w:r>
        <w:rPr>
          <w:rFonts w:hint="eastAsia" w:ascii="宋体" w:hAnsi="宋体" w:cs="宋体"/>
          <w:snapToGrid w:val="0"/>
          <w:kern w:val="0"/>
          <w:sz w:val="24"/>
        </w:rPr>
        <w:t>车辆基本信息</w:t>
      </w:r>
      <w:r>
        <w:rPr>
          <w:rFonts w:hint="eastAsia" w:ascii="宋体" w:hAnsi="宋体" w:cs="宋体"/>
          <w:sz w:val="24"/>
          <w:szCs w:val="20"/>
        </w:rPr>
        <w:t>②</w:t>
      </w:r>
      <w:r>
        <w:rPr>
          <w:rFonts w:hint="eastAsia" w:ascii="宋体" w:hAnsi="宋体" w:cs="宋体"/>
          <w:snapToGrid w:val="0"/>
          <w:kern w:val="0"/>
          <w:sz w:val="24"/>
        </w:rPr>
        <w:t>证件登记③保养情况④车辆技术性能。</w:t>
      </w:r>
    </w:p>
    <w:p>
      <w:pPr>
        <w:spacing w:line="360" w:lineRule="auto"/>
        <w:rPr>
          <w:rFonts w:ascii="宋体"/>
          <w:sz w:val="24"/>
          <w:szCs w:val="20"/>
        </w:rPr>
      </w:pPr>
      <w:r>
        <w:rPr>
          <w:rFonts w:hint="eastAsia" w:ascii="宋体" w:hAnsi="宋体" w:cs="宋体"/>
          <w:sz w:val="24"/>
          <w:szCs w:val="20"/>
        </w:rPr>
        <w:t>（9）车辆使用培训方案：至少包括①</w:t>
      </w:r>
      <w:r>
        <w:rPr>
          <w:rFonts w:ascii="宋体" w:hAnsi="宋体" w:cs="宋体"/>
          <w:sz w:val="24"/>
          <w:szCs w:val="20"/>
        </w:rPr>
        <w:t>汽车使用须知</w:t>
      </w:r>
      <w:r>
        <w:rPr>
          <w:rFonts w:hint="eastAsia" w:ascii="宋体" w:hAnsi="宋体" w:cs="宋体"/>
          <w:sz w:val="24"/>
          <w:szCs w:val="20"/>
        </w:rPr>
        <w:t>②充电安全操作③常见故障排除④行车安全教育。</w:t>
      </w:r>
    </w:p>
    <w:p>
      <w:pPr>
        <w:spacing w:line="360" w:lineRule="auto"/>
        <w:rPr>
          <w:rFonts w:ascii="宋体" w:hAnsi="宋体" w:cs="宋体"/>
          <w:b/>
          <w:sz w:val="24"/>
        </w:rPr>
      </w:pPr>
      <w:r>
        <w:rPr>
          <w:rFonts w:hint="eastAsia" w:ascii="宋体" w:hAnsi="宋体" w:cs="宋体"/>
          <w:b/>
          <w:sz w:val="24"/>
        </w:rPr>
        <w:t>三、服务期限</w:t>
      </w:r>
    </w:p>
    <w:p>
      <w:pPr>
        <w:spacing w:line="360" w:lineRule="auto"/>
        <w:ind w:firstLine="480" w:firstLineChars="200"/>
        <w:rPr>
          <w:rFonts w:ascii="宋体" w:hAnsi="宋体" w:cs="宋体"/>
          <w:sz w:val="24"/>
        </w:rPr>
      </w:pPr>
      <w:r>
        <w:rPr>
          <w:rFonts w:hint="eastAsia" w:ascii="宋体" w:hAnsi="宋体" w:cs="宋体"/>
          <w:sz w:val="24"/>
        </w:rPr>
        <w:t>本合同期限为1年（合同从车辆到位交接之日起算）。合同期内，供应商能严格履行合同约定内容。合作期内任何一方不得擅自停止协议（采购人在租赁期间因国家政策或上级主管部门要求，导致采购人需求变更除外），否则应负担所造成的一切损失。</w:t>
      </w:r>
    </w:p>
    <w:p>
      <w:pPr>
        <w:spacing w:line="360" w:lineRule="auto"/>
        <w:rPr>
          <w:rFonts w:ascii="宋体" w:hAnsi="宋体" w:cs="宋体"/>
          <w:b/>
          <w:sz w:val="24"/>
        </w:rPr>
      </w:pPr>
      <w:r>
        <w:rPr>
          <w:rFonts w:hint="eastAsia" w:ascii="宋体" w:hAnsi="宋体" w:cs="宋体"/>
          <w:b/>
          <w:sz w:val="24"/>
        </w:rPr>
        <w:t>四、付款方式</w:t>
      </w:r>
    </w:p>
    <w:p>
      <w:pPr>
        <w:spacing w:line="360" w:lineRule="auto"/>
        <w:rPr>
          <w:rFonts w:ascii="宋体" w:hAnsi="宋体" w:cs="宋体"/>
          <w:sz w:val="24"/>
        </w:rPr>
      </w:pPr>
      <w:r>
        <w:rPr>
          <w:rFonts w:hint="eastAsia" w:ascii="宋体" w:hAnsi="宋体" w:cs="宋体"/>
          <w:sz w:val="24"/>
        </w:rPr>
        <w:t>1.付款方式：签订合同后采购人在7个工作日内支付总合同的40%的预付款。半年后支付合同金额的30%的费用，服务期满9个月经验收通过后10个工作日内支付剩余费用。履约保证金在到期后扣除违约部分后无息退还，如未发生违约情况则全额退还。</w:t>
      </w:r>
    </w:p>
    <w:p>
      <w:pPr>
        <w:spacing w:line="360" w:lineRule="auto"/>
        <w:rPr>
          <w:rFonts w:ascii="宋体" w:hAnsi="宋体" w:cs="宋体"/>
          <w:sz w:val="24"/>
        </w:rPr>
      </w:pPr>
      <w:r>
        <w:rPr>
          <w:rFonts w:hint="eastAsia" w:ascii="宋体" w:hAnsi="宋体" w:cs="宋体"/>
          <w:sz w:val="24"/>
        </w:rPr>
        <w:t>2.采购人每次付款前，中标供应商需向采购人提供与甲方所付金额相等的正规发票。</w:t>
      </w:r>
    </w:p>
    <w:p>
      <w:pPr>
        <w:spacing w:line="360" w:lineRule="auto"/>
        <w:rPr>
          <w:rFonts w:ascii="宋体" w:hAnsi="宋体" w:cs="宋体"/>
          <w:b/>
          <w:sz w:val="24"/>
        </w:rPr>
      </w:pPr>
      <w:r>
        <w:rPr>
          <w:rFonts w:hint="eastAsia" w:ascii="宋体" w:hAnsi="宋体" w:cs="宋体"/>
          <w:b/>
          <w:sz w:val="24"/>
        </w:rPr>
        <w:t xml:space="preserve">五、验收标准 </w:t>
      </w:r>
    </w:p>
    <w:p>
      <w:pPr>
        <w:spacing w:line="360" w:lineRule="auto"/>
        <w:rPr>
          <w:rFonts w:ascii="宋体" w:hAnsi="宋体" w:cs="宋体"/>
          <w:sz w:val="24"/>
        </w:rPr>
      </w:pPr>
      <w:r>
        <w:rPr>
          <w:rFonts w:hint="eastAsia" w:ascii="宋体" w:hAnsi="宋体" w:cs="宋体"/>
          <w:sz w:val="24"/>
        </w:rPr>
        <w:t>1.提供租赁车辆数量及租赁车辆有效的随车证件（行驶证、随车标志、使用说明书、维修保养手册等）；</w:t>
      </w:r>
    </w:p>
    <w:p>
      <w:pPr>
        <w:spacing w:line="360" w:lineRule="auto"/>
        <w:rPr>
          <w:rFonts w:ascii="宋体" w:hAnsi="宋体" w:cs="宋体"/>
          <w:sz w:val="24"/>
        </w:rPr>
      </w:pPr>
      <w:r>
        <w:rPr>
          <w:rFonts w:hint="eastAsia" w:ascii="宋体" w:hAnsi="宋体" w:cs="宋体"/>
          <w:sz w:val="24"/>
        </w:rPr>
        <w:t>2.车辆性能是否完好，车辆外观是否整洁，无损毁掉漆；</w:t>
      </w:r>
    </w:p>
    <w:p>
      <w:pPr>
        <w:spacing w:line="360" w:lineRule="auto"/>
        <w:rPr>
          <w:rFonts w:ascii="宋体" w:hAnsi="宋体" w:cs="宋体"/>
          <w:sz w:val="24"/>
        </w:rPr>
      </w:pPr>
      <w:r>
        <w:rPr>
          <w:rFonts w:hint="eastAsia" w:ascii="宋体" w:hAnsi="宋体" w:cs="宋体"/>
          <w:sz w:val="24"/>
        </w:rPr>
        <w:t>3.有无按要求提供车型，喷涂标识，安装</w:t>
      </w:r>
      <w:r>
        <w:rPr>
          <w:rFonts w:hint="eastAsia" w:ascii="宋体" w:hAnsi="宋体" w:cs="仿宋"/>
          <w:sz w:val="24"/>
        </w:rPr>
        <w:t>警铃、警笛</w:t>
      </w:r>
      <w:r>
        <w:rPr>
          <w:rFonts w:hint="eastAsia" w:ascii="宋体" w:hAnsi="宋体" w:cs="宋体"/>
          <w:sz w:val="24"/>
        </w:rPr>
        <w:t>，有无按时维护保养，按时购买车辆保险，应急响应是否到位。</w:t>
      </w:r>
    </w:p>
    <w:p>
      <w:pPr>
        <w:spacing w:line="360" w:lineRule="auto"/>
        <w:rPr>
          <w:rFonts w:ascii="宋体" w:hAnsi="宋体" w:cs="宋体"/>
          <w:b/>
          <w:sz w:val="24"/>
        </w:rPr>
      </w:pPr>
      <w:r>
        <w:rPr>
          <w:rFonts w:hint="eastAsia" w:ascii="宋体" w:hAnsi="宋体" w:cs="宋体"/>
          <w:b/>
          <w:sz w:val="24"/>
        </w:rPr>
        <w:t>六、报价要求</w:t>
      </w:r>
    </w:p>
    <w:p>
      <w:pPr>
        <w:spacing w:line="360" w:lineRule="auto"/>
        <w:rPr>
          <w:rFonts w:ascii="宋体" w:hAnsi="宋体" w:cs="宋体"/>
          <w:sz w:val="24"/>
        </w:rPr>
      </w:pPr>
      <w:r>
        <w:rPr>
          <w:rFonts w:hint="eastAsia" w:ascii="宋体" w:hAnsi="宋体" w:cs="宋体"/>
          <w:sz w:val="24"/>
        </w:rPr>
        <w:t>1.中标供应商应根据招标文件报出合同总价。合同总价一旦核实确认，不得再做更改（采购人在租赁期间因国家政策或上级主管部门要求，导致采购人需求变更除外）。对中标供应商漏报致使未能达到需求的功能和效果，其费用和后果由中标供应商自行负责。</w:t>
      </w:r>
    </w:p>
    <w:p>
      <w:pPr>
        <w:spacing w:line="360" w:lineRule="auto"/>
        <w:rPr>
          <w:rFonts w:ascii="宋体" w:hAnsi="宋体" w:cs="宋体"/>
          <w:sz w:val="24"/>
        </w:rPr>
      </w:pPr>
      <w:r>
        <w:rPr>
          <w:rFonts w:hint="eastAsia" w:ascii="宋体" w:hAnsi="宋体" w:cs="宋体"/>
          <w:sz w:val="24"/>
        </w:rPr>
        <w:t>2．中标供应商对每种服务的报价必须是唯一的。采购人不接受有任何选择的报价。</w:t>
      </w:r>
    </w:p>
    <w:p>
      <w:pPr>
        <w:spacing w:line="360" w:lineRule="auto"/>
        <w:rPr>
          <w:rFonts w:ascii="宋体" w:hAnsi="宋体" w:cs="宋体"/>
          <w:sz w:val="24"/>
        </w:rPr>
      </w:pPr>
      <w:r>
        <w:rPr>
          <w:rFonts w:hint="eastAsia" w:ascii="宋体" w:hAnsi="宋体" w:cs="宋体"/>
          <w:sz w:val="24"/>
        </w:rPr>
        <w:t>3．所有报价均应已包含国家规定的所有税费。</w:t>
      </w:r>
    </w:p>
    <w:p>
      <w:pPr>
        <w:spacing w:line="360" w:lineRule="auto"/>
        <w:rPr>
          <w:rFonts w:ascii="宋体" w:hAnsi="宋体" w:cs="宋体"/>
          <w:sz w:val="24"/>
        </w:rPr>
      </w:pPr>
      <w:r>
        <w:rPr>
          <w:rFonts w:hint="eastAsia" w:ascii="宋体" w:hAnsi="宋体" w:cs="宋体"/>
          <w:sz w:val="24"/>
        </w:rPr>
        <w:t>4．投标报价是指所租赁车辆12个月的全部费用，包括租赁费用、GPS安装与使用服务费用、车辆贴膜费用、车辆喷涂车贴费用、</w:t>
      </w:r>
      <w:r>
        <w:rPr>
          <w:rFonts w:hint="eastAsia" w:ascii="宋体" w:hAnsi="宋体" w:cs="仿宋"/>
          <w:sz w:val="24"/>
        </w:rPr>
        <w:t>警铃、警笛</w:t>
      </w:r>
      <w:r>
        <w:rPr>
          <w:rFonts w:hint="eastAsia" w:ascii="宋体" w:hAnsi="宋体" w:cs="宋体"/>
          <w:sz w:val="24"/>
        </w:rPr>
        <w:t>安装费用、轮胎修补及更换费用、行车记录仪、保险费用（覆盖全部险种，包括交强险、车损险、第三者责任保险（≥150万）、车上人员险）、维修及保养费用、年审费用、车辆折旧费、管理费、各种税费等一切费用。</w:t>
      </w:r>
    </w:p>
    <w:p>
      <w:pPr>
        <w:spacing w:line="360" w:lineRule="auto"/>
        <w:rPr>
          <w:rFonts w:ascii="宋体" w:hAnsi="宋体" w:cs="宋体"/>
          <w:b/>
          <w:sz w:val="24"/>
        </w:rPr>
      </w:pPr>
      <w:r>
        <w:rPr>
          <w:rFonts w:hint="eastAsia" w:ascii="宋体" w:hAnsi="宋体" w:cs="宋体"/>
          <w:b/>
          <w:sz w:val="24"/>
        </w:rPr>
        <w:t>七、履约保证金</w:t>
      </w:r>
    </w:p>
    <w:p>
      <w:pPr>
        <w:spacing w:line="360" w:lineRule="auto"/>
        <w:rPr>
          <w:rFonts w:ascii="宋体" w:hAnsi="宋体" w:cs="宋体"/>
          <w:sz w:val="24"/>
        </w:rPr>
      </w:pPr>
      <w:r>
        <w:rPr>
          <w:rFonts w:hint="eastAsia" w:ascii="宋体" w:hAnsi="宋体" w:cs="宋体"/>
          <w:sz w:val="24"/>
        </w:rPr>
        <w:t>1． 签订合同前1个工作日内，中标单位须向采购人缴纳相当于年合同价1%的履约保证金。以保证中标单位遵守本合同的一切条款、条件和承诺，该保证金在采购人的规定存续期间不计息。服务期满考核通过后无息返还。</w:t>
      </w:r>
    </w:p>
    <w:p>
      <w:pPr>
        <w:spacing w:line="360" w:lineRule="auto"/>
        <w:rPr>
          <w:rFonts w:ascii="宋体" w:hAnsi="宋体" w:cs="宋体"/>
          <w:sz w:val="24"/>
        </w:rPr>
      </w:pPr>
      <w:r>
        <w:rPr>
          <w:rFonts w:hint="eastAsia" w:ascii="宋体" w:hAnsi="宋体" w:cs="宋体"/>
          <w:sz w:val="24"/>
        </w:rPr>
        <w:t>2．采购人有权从履约保证金中扣除用于修复中标单位损坏采购人的设备、设施、场地或因中标单位违约而导致损失的金额和违约金，且中标单位应在接到扣除履约保证金通知后一周内补足扣除差额，保证承包期间履约保证金的完整。</w:t>
      </w:r>
    </w:p>
    <w:p>
      <w:pPr>
        <w:spacing w:line="360" w:lineRule="auto"/>
        <w:rPr>
          <w:rFonts w:ascii="宋体" w:hAnsi="宋体" w:cs="宋体"/>
          <w:bCs/>
          <w:sz w:val="24"/>
        </w:rPr>
      </w:pPr>
      <w:r>
        <w:rPr>
          <w:rFonts w:hint="eastAsia" w:ascii="宋体" w:hAnsi="宋体" w:cs="宋体"/>
          <w:sz w:val="24"/>
        </w:rPr>
        <w:t>3．采购人认为中标单位在服务期内没有涉及采购人的应付而未付金额或违约行为，采购人在服务期满后或提前终止承包后一个月内全额退还履约保证金，否则，采购人将在扣除中标单位应付金额或违约金后退还保证金余额。</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napToGrid w:val="0"/>
        <w:spacing w:line="360" w:lineRule="auto"/>
        <w:jc w:val="center"/>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9" w:name="_Toc184313277"/>
      <w:bookmarkEnd w:id="29"/>
      <w:bookmarkStart w:id="30" w:name="_Toc184310328"/>
      <w:bookmarkEnd w:id="30"/>
      <w:bookmarkStart w:id="31" w:name="_Toc184310312"/>
      <w:bookmarkEnd w:id="31"/>
      <w:bookmarkStart w:id="32" w:name="_Toc184310287"/>
      <w:bookmarkEnd w:id="32"/>
      <w:bookmarkStart w:id="33" w:name="_Toc184310296"/>
      <w:bookmarkEnd w:id="33"/>
      <w:bookmarkStart w:id="34" w:name="_Toc184310272"/>
      <w:bookmarkEnd w:id="34"/>
      <w:bookmarkStart w:id="35" w:name="_Toc184308044"/>
      <w:bookmarkEnd w:id="35"/>
      <w:bookmarkStart w:id="36" w:name="_Toc184310324"/>
      <w:bookmarkEnd w:id="36"/>
      <w:bookmarkStart w:id="37" w:name="_Toc184314473"/>
      <w:bookmarkEnd w:id="37"/>
      <w:bookmarkStart w:id="38" w:name="_Toc184313274"/>
      <w:bookmarkEnd w:id="38"/>
      <w:bookmarkStart w:id="39" w:name="_Toc184314460"/>
      <w:bookmarkEnd w:id="39"/>
      <w:bookmarkStart w:id="40" w:name="_Toc184313282"/>
      <w:bookmarkEnd w:id="40"/>
      <w:bookmarkStart w:id="41" w:name="_Toc184308066"/>
      <w:bookmarkEnd w:id="41"/>
      <w:bookmarkStart w:id="42" w:name="_Toc184308041"/>
      <w:bookmarkEnd w:id="42"/>
      <w:bookmarkStart w:id="43" w:name="_Toc184313262"/>
      <w:bookmarkEnd w:id="43"/>
      <w:bookmarkStart w:id="44" w:name="_Toc184314472"/>
      <w:bookmarkEnd w:id="44"/>
      <w:bookmarkStart w:id="45" w:name="_Toc184312138"/>
      <w:bookmarkEnd w:id="45"/>
      <w:bookmarkStart w:id="46" w:name="_Toc184314482"/>
      <w:bookmarkEnd w:id="46"/>
      <w:bookmarkStart w:id="47" w:name="_Toc184313295"/>
      <w:bookmarkEnd w:id="47"/>
      <w:bookmarkStart w:id="48" w:name="_Toc184314445"/>
      <w:bookmarkEnd w:id="48"/>
      <w:bookmarkStart w:id="49" w:name="_Toc184310339"/>
      <w:bookmarkEnd w:id="49"/>
      <w:bookmarkStart w:id="50" w:name="_Toc184312093"/>
      <w:bookmarkEnd w:id="50"/>
      <w:bookmarkStart w:id="51" w:name="_Toc184308086"/>
      <w:bookmarkEnd w:id="51"/>
      <w:bookmarkStart w:id="52" w:name="_Toc184308108"/>
      <w:bookmarkEnd w:id="52"/>
      <w:bookmarkStart w:id="53" w:name="_Toc184310314"/>
      <w:bookmarkEnd w:id="53"/>
      <w:bookmarkStart w:id="54" w:name="_Toc184312071"/>
      <w:bookmarkEnd w:id="54"/>
      <w:bookmarkStart w:id="55" w:name="_Toc184308100"/>
      <w:bookmarkEnd w:id="55"/>
      <w:bookmarkStart w:id="56" w:name="_Toc184312129"/>
      <w:bookmarkEnd w:id="56"/>
      <w:bookmarkStart w:id="57" w:name="_Toc184313246"/>
      <w:bookmarkEnd w:id="57"/>
      <w:bookmarkStart w:id="58" w:name="_Toc184312086"/>
      <w:bookmarkEnd w:id="58"/>
      <w:bookmarkStart w:id="59" w:name="_Toc184310318"/>
      <w:bookmarkEnd w:id="59"/>
      <w:bookmarkStart w:id="60" w:name="_Toc184310277"/>
      <w:bookmarkEnd w:id="60"/>
      <w:bookmarkStart w:id="61" w:name="_Toc184313256"/>
      <w:bookmarkEnd w:id="61"/>
      <w:bookmarkStart w:id="62" w:name="_Toc184310316"/>
      <w:bookmarkEnd w:id="62"/>
      <w:bookmarkStart w:id="63" w:name="_Toc184310297"/>
      <w:bookmarkEnd w:id="63"/>
      <w:bookmarkStart w:id="64" w:name="_Toc184308096"/>
      <w:bookmarkEnd w:id="64"/>
      <w:bookmarkStart w:id="65" w:name="_Toc184312073"/>
      <w:bookmarkEnd w:id="65"/>
      <w:bookmarkStart w:id="66" w:name="_Toc184313264"/>
      <w:bookmarkEnd w:id="66"/>
      <w:bookmarkStart w:id="67" w:name="_Toc184314478"/>
      <w:bookmarkEnd w:id="67"/>
      <w:bookmarkStart w:id="68" w:name="_Toc184314411"/>
      <w:bookmarkEnd w:id="68"/>
      <w:bookmarkStart w:id="69" w:name="_Toc184312074"/>
      <w:bookmarkEnd w:id="69"/>
      <w:bookmarkStart w:id="70" w:name="_Toc184312102"/>
      <w:bookmarkEnd w:id="70"/>
      <w:bookmarkStart w:id="71" w:name="_Toc184314432"/>
      <w:bookmarkEnd w:id="71"/>
      <w:bookmarkStart w:id="72" w:name="_Toc184312078"/>
      <w:bookmarkEnd w:id="72"/>
      <w:bookmarkStart w:id="73" w:name="_Toc184313265"/>
      <w:bookmarkEnd w:id="73"/>
      <w:bookmarkStart w:id="74" w:name="_Toc184312081"/>
      <w:bookmarkEnd w:id="74"/>
      <w:bookmarkStart w:id="75" w:name="_Toc184310284"/>
      <w:bookmarkEnd w:id="75"/>
      <w:bookmarkStart w:id="76" w:name="_Toc184314462"/>
      <w:bookmarkEnd w:id="76"/>
      <w:bookmarkStart w:id="77" w:name="_Toc184310285"/>
      <w:bookmarkEnd w:id="77"/>
      <w:bookmarkStart w:id="78" w:name="_Toc184313245"/>
      <w:bookmarkEnd w:id="78"/>
      <w:bookmarkStart w:id="79" w:name="_Toc184314479"/>
      <w:bookmarkEnd w:id="79"/>
      <w:bookmarkStart w:id="80" w:name="_Toc184308039"/>
      <w:bookmarkEnd w:id="80"/>
      <w:bookmarkStart w:id="81" w:name="_Toc184312106"/>
      <w:bookmarkEnd w:id="81"/>
      <w:bookmarkStart w:id="82" w:name="_Toc184314457"/>
      <w:bookmarkEnd w:id="82"/>
      <w:bookmarkStart w:id="83" w:name="_Toc184314418"/>
      <w:bookmarkEnd w:id="83"/>
      <w:bookmarkStart w:id="84" w:name="_Toc184313266"/>
      <w:bookmarkEnd w:id="84"/>
      <w:bookmarkStart w:id="85" w:name="_Toc184308059"/>
      <w:bookmarkEnd w:id="85"/>
      <w:bookmarkStart w:id="86" w:name="_Toc184314467"/>
      <w:bookmarkEnd w:id="86"/>
      <w:bookmarkStart w:id="87" w:name="_Toc184308071"/>
      <w:bookmarkEnd w:id="87"/>
      <w:bookmarkStart w:id="88" w:name="_Toc184310344"/>
      <w:bookmarkEnd w:id="88"/>
      <w:bookmarkStart w:id="89" w:name="_Toc184314474"/>
      <w:bookmarkEnd w:id="89"/>
      <w:bookmarkStart w:id="90" w:name="_Toc184308106"/>
      <w:bookmarkEnd w:id="90"/>
      <w:bookmarkStart w:id="91" w:name="_Toc184314480"/>
      <w:bookmarkEnd w:id="91"/>
      <w:bookmarkStart w:id="92" w:name="_Toc184313272"/>
      <w:bookmarkEnd w:id="92"/>
      <w:bookmarkStart w:id="93" w:name="_Toc184314434"/>
      <w:bookmarkEnd w:id="93"/>
      <w:bookmarkStart w:id="94" w:name="_Toc184310342"/>
      <w:bookmarkEnd w:id="94"/>
      <w:bookmarkStart w:id="95" w:name="_Toc184313259"/>
      <w:bookmarkEnd w:id="95"/>
      <w:bookmarkStart w:id="96" w:name="_Toc184310333"/>
      <w:bookmarkEnd w:id="96"/>
      <w:bookmarkStart w:id="97" w:name="_Toc184313260"/>
      <w:bookmarkEnd w:id="97"/>
      <w:bookmarkStart w:id="98" w:name="_Toc184310311"/>
      <w:bookmarkEnd w:id="98"/>
      <w:bookmarkStart w:id="99" w:name="_Toc184312092"/>
      <w:bookmarkEnd w:id="99"/>
      <w:bookmarkStart w:id="100" w:name="_Toc184312100"/>
      <w:bookmarkEnd w:id="100"/>
      <w:bookmarkStart w:id="101" w:name="_Toc184313243"/>
      <w:bookmarkEnd w:id="101"/>
      <w:bookmarkStart w:id="102" w:name="_Toc184308067"/>
      <w:bookmarkEnd w:id="102"/>
      <w:bookmarkStart w:id="103" w:name="_Toc184313261"/>
      <w:bookmarkEnd w:id="103"/>
      <w:bookmarkStart w:id="104" w:name="_Toc184313254"/>
      <w:bookmarkEnd w:id="104"/>
      <w:bookmarkStart w:id="105" w:name="_Toc184310279"/>
      <w:bookmarkEnd w:id="105"/>
      <w:bookmarkStart w:id="106" w:name="_Toc184310303"/>
      <w:bookmarkEnd w:id="106"/>
      <w:bookmarkStart w:id="107" w:name="_Toc184312111"/>
      <w:bookmarkEnd w:id="107"/>
      <w:bookmarkStart w:id="108" w:name="_Toc184313301"/>
      <w:bookmarkEnd w:id="108"/>
      <w:bookmarkStart w:id="109" w:name="_Toc184314461"/>
      <w:bookmarkEnd w:id="109"/>
      <w:bookmarkStart w:id="110" w:name="_Toc184312089"/>
      <w:bookmarkEnd w:id="110"/>
      <w:bookmarkStart w:id="111" w:name="_Toc184314442"/>
      <w:bookmarkEnd w:id="111"/>
      <w:bookmarkStart w:id="112" w:name="_Toc184314431"/>
      <w:bookmarkEnd w:id="112"/>
      <w:bookmarkStart w:id="113" w:name="_Toc184313239"/>
      <w:bookmarkEnd w:id="113"/>
      <w:bookmarkStart w:id="114" w:name="_Toc184312127"/>
      <w:bookmarkEnd w:id="114"/>
      <w:bookmarkStart w:id="115" w:name="_Toc184312095"/>
      <w:bookmarkEnd w:id="115"/>
      <w:bookmarkStart w:id="116" w:name="_Toc184312097"/>
      <w:bookmarkEnd w:id="116"/>
      <w:bookmarkStart w:id="117" w:name="_Toc184308042"/>
      <w:bookmarkEnd w:id="117"/>
      <w:bookmarkStart w:id="118" w:name="_Toc184310291"/>
      <w:bookmarkEnd w:id="118"/>
      <w:bookmarkStart w:id="119" w:name="_Toc184310275"/>
      <w:bookmarkEnd w:id="119"/>
      <w:bookmarkStart w:id="120" w:name="_Toc184313267"/>
      <w:bookmarkEnd w:id="120"/>
      <w:bookmarkStart w:id="121" w:name="_Toc184314416"/>
      <w:bookmarkEnd w:id="121"/>
      <w:bookmarkStart w:id="122" w:name="_Toc184308083"/>
      <w:bookmarkEnd w:id="122"/>
      <w:bookmarkStart w:id="123" w:name="_Toc184314463"/>
      <w:bookmarkEnd w:id="123"/>
      <w:bookmarkStart w:id="124" w:name="_Toc184308075"/>
      <w:bookmarkEnd w:id="124"/>
      <w:bookmarkStart w:id="125" w:name="_Toc184310326"/>
      <w:bookmarkEnd w:id="125"/>
      <w:bookmarkStart w:id="126" w:name="_Toc184308057"/>
      <w:bookmarkEnd w:id="126"/>
      <w:bookmarkStart w:id="127" w:name="_Toc184312120"/>
      <w:bookmarkEnd w:id="127"/>
      <w:bookmarkStart w:id="128" w:name="_Toc184308062"/>
      <w:bookmarkEnd w:id="128"/>
      <w:bookmarkStart w:id="129" w:name="_Toc184314433"/>
      <w:bookmarkEnd w:id="129"/>
      <w:bookmarkStart w:id="130" w:name="_Toc184314417"/>
      <w:bookmarkEnd w:id="130"/>
      <w:bookmarkStart w:id="131" w:name="_Toc184308089"/>
      <w:bookmarkEnd w:id="131"/>
      <w:bookmarkStart w:id="132" w:name="_Toc184313270"/>
      <w:bookmarkEnd w:id="132"/>
      <w:bookmarkStart w:id="133" w:name="_Toc184314447"/>
      <w:bookmarkEnd w:id="133"/>
      <w:bookmarkStart w:id="134" w:name="_Toc184308105"/>
      <w:bookmarkEnd w:id="134"/>
      <w:bookmarkStart w:id="135" w:name="_Toc184314477"/>
      <w:bookmarkEnd w:id="135"/>
      <w:bookmarkStart w:id="136" w:name="_Toc184310274"/>
      <w:bookmarkEnd w:id="136"/>
      <w:bookmarkStart w:id="137" w:name="_Toc184310341"/>
      <w:bookmarkEnd w:id="137"/>
      <w:bookmarkStart w:id="138" w:name="_Toc184308094"/>
      <w:bookmarkEnd w:id="138"/>
      <w:bookmarkStart w:id="139" w:name="_Toc184312123"/>
      <w:bookmarkEnd w:id="139"/>
      <w:bookmarkStart w:id="140" w:name="_Toc184308091"/>
      <w:bookmarkEnd w:id="140"/>
      <w:bookmarkStart w:id="141" w:name="_Toc184308065"/>
      <w:bookmarkEnd w:id="141"/>
      <w:bookmarkStart w:id="142" w:name="_Toc184308038"/>
      <w:bookmarkEnd w:id="142"/>
      <w:bookmarkStart w:id="143" w:name="_Toc184310276"/>
      <w:bookmarkEnd w:id="143"/>
      <w:bookmarkStart w:id="144" w:name="_Toc184310335"/>
      <w:bookmarkEnd w:id="144"/>
      <w:bookmarkStart w:id="145" w:name="_Toc184314453"/>
      <w:bookmarkEnd w:id="145"/>
      <w:bookmarkStart w:id="146" w:name="_Toc184308048"/>
      <w:bookmarkEnd w:id="146"/>
      <w:bookmarkStart w:id="147" w:name="_Toc184314438"/>
      <w:bookmarkEnd w:id="147"/>
      <w:bookmarkStart w:id="148" w:name="_Toc184310278"/>
      <w:bookmarkEnd w:id="148"/>
      <w:bookmarkStart w:id="149" w:name="_Toc184308046"/>
      <w:bookmarkEnd w:id="149"/>
      <w:bookmarkStart w:id="150" w:name="_Toc184310301"/>
      <w:bookmarkEnd w:id="150"/>
      <w:bookmarkStart w:id="151" w:name="_Toc184308049"/>
      <w:bookmarkEnd w:id="151"/>
      <w:bookmarkStart w:id="152" w:name="_Toc184308037"/>
      <w:bookmarkEnd w:id="152"/>
      <w:bookmarkStart w:id="153" w:name="_Toc184312068"/>
      <w:bookmarkEnd w:id="153"/>
      <w:bookmarkStart w:id="154" w:name="_Toc184310317"/>
      <w:bookmarkEnd w:id="154"/>
      <w:bookmarkStart w:id="155" w:name="_Toc184308064"/>
      <w:bookmarkEnd w:id="155"/>
      <w:bookmarkStart w:id="156" w:name="_Toc184314443"/>
      <w:bookmarkEnd w:id="156"/>
      <w:bookmarkStart w:id="157" w:name="_Toc184308061"/>
      <w:bookmarkEnd w:id="157"/>
      <w:bookmarkStart w:id="158" w:name="_Toc184308087"/>
      <w:bookmarkEnd w:id="158"/>
      <w:bookmarkStart w:id="159" w:name="_Toc184312082"/>
      <w:bookmarkEnd w:id="159"/>
      <w:bookmarkStart w:id="160" w:name="_Toc184314440"/>
      <w:bookmarkEnd w:id="160"/>
      <w:bookmarkStart w:id="161" w:name="_Toc184308043"/>
      <w:bookmarkEnd w:id="161"/>
      <w:bookmarkStart w:id="162" w:name="_Toc184313294"/>
      <w:bookmarkEnd w:id="162"/>
      <w:bookmarkStart w:id="163" w:name="_Toc184310304"/>
      <w:bookmarkEnd w:id="163"/>
      <w:bookmarkStart w:id="164" w:name="_Toc184313310"/>
      <w:bookmarkEnd w:id="164"/>
      <w:bookmarkStart w:id="165" w:name="_Toc184312137"/>
      <w:bookmarkEnd w:id="165"/>
      <w:bookmarkStart w:id="166" w:name="_Toc184310290"/>
      <w:bookmarkEnd w:id="166"/>
      <w:bookmarkStart w:id="167" w:name="_Toc184314419"/>
      <w:bookmarkEnd w:id="167"/>
      <w:bookmarkStart w:id="168" w:name="_Toc184310331"/>
      <w:bookmarkEnd w:id="168"/>
      <w:bookmarkStart w:id="169" w:name="_Toc184313300"/>
      <w:bookmarkEnd w:id="169"/>
      <w:bookmarkStart w:id="170" w:name="_Toc184314425"/>
      <w:bookmarkEnd w:id="170"/>
      <w:bookmarkStart w:id="171" w:name="_Toc184310337"/>
      <w:bookmarkEnd w:id="171"/>
      <w:bookmarkStart w:id="172" w:name="_Toc184313299"/>
      <w:bookmarkEnd w:id="172"/>
      <w:bookmarkStart w:id="173" w:name="_Toc184313308"/>
      <w:bookmarkEnd w:id="173"/>
      <w:bookmarkStart w:id="174" w:name="_Toc184313257"/>
      <w:bookmarkEnd w:id="174"/>
      <w:bookmarkStart w:id="175" w:name="_Toc184314470"/>
      <w:bookmarkEnd w:id="175"/>
      <w:bookmarkStart w:id="176" w:name="_Toc184312084"/>
      <w:bookmarkEnd w:id="176"/>
      <w:bookmarkStart w:id="177" w:name="_Toc184308055"/>
      <w:bookmarkEnd w:id="177"/>
      <w:bookmarkStart w:id="178" w:name="_Toc184310325"/>
      <w:bookmarkEnd w:id="178"/>
      <w:bookmarkStart w:id="179" w:name="_Toc184313248"/>
      <w:bookmarkEnd w:id="179"/>
      <w:bookmarkStart w:id="180" w:name="_Toc184314412"/>
      <w:bookmarkEnd w:id="180"/>
      <w:bookmarkStart w:id="181" w:name="_Toc184312109"/>
      <w:bookmarkEnd w:id="181"/>
      <w:bookmarkStart w:id="182" w:name="_Toc184314459"/>
      <w:bookmarkEnd w:id="182"/>
      <w:bookmarkStart w:id="183" w:name="_Toc184312096"/>
      <w:bookmarkEnd w:id="183"/>
      <w:bookmarkStart w:id="184" w:name="_Toc184308040"/>
      <w:bookmarkEnd w:id="184"/>
      <w:bookmarkStart w:id="185" w:name="_Toc184313304"/>
      <w:bookmarkEnd w:id="185"/>
      <w:bookmarkStart w:id="186" w:name="_Toc184312114"/>
      <w:bookmarkEnd w:id="186"/>
      <w:bookmarkStart w:id="187" w:name="_Toc184312083"/>
      <w:bookmarkEnd w:id="187"/>
      <w:bookmarkStart w:id="188" w:name="_Toc184308081"/>
      <w:bookmarkEnd w:id="188"/>
      <w:bookmarkStart w:id="189" w:name="_Toc184308104"/>
      <w:bookmarkEnd w:id="189"/>
      <w:bookmarkStart w:id="190" w:name="_Toc184312076"/>
      <w:bookmarkEnd w:id="190"/>
      <w:bookmarkStart w:id="191" w:name="_Toc184308084"/>
      <w:bookmarkEnd w:id="191"/>
      <w:bookmarkStart w:id="192" w:name="_Toc184313298"/>
      <w:bookmarkEnd w:id="192"/>
      <w:bookmarkStart w:id="193" w:name="_Toc184313273"/>
      <w:bookmarkEnd w:id="193"/>
      <w:bookmarkStart w:id="194" w:name="_Toc184308103"/>
      <w:bookmarkEnd w:id="194"/>
      <w:bookmarkStart w:id="195" w:name="_Toc184312108"/>
      <w:bookmarkEnd w:id="195"/>
      <w:bookmarkStart w:id="196" w:name="_Toc184314439"/>
      <w:bookmarkEnd w:id="196"/>
      <w:bookmarkStart w:id="197" w:name="_Toc184314468"/>
      <w:bookmarkEnd w:id="197"/>
      <w:bookmarkStart w:id="198" w:name="_Toc184312121"/>
      <w:bookmarkEnd w:id="198"/>
      <w:bookmarkStart w:id="199" w:name="_Toc184312112"/>
      <w:bookmarkEnd w:id="199"/>
      <w:bookmarkStart w:id="200" w:name="_Toc184312134"/>
      <w:bookmarkEnd w:id="200"/>
      <w:bookmarkStart w:id="201" w:name="_Toc184308090"/>
      <w:bookmarkEnd w:id="201"/>
      <w:bookmarkStart w:id="202" w:name="_Toc184310286"/>
      <w:bookmarkEnd w:id="202"/>
      <w:bookmarkStart w:id="203" w:name="_Toc184312132"/>
      <w:bookmarkEnd w:id="203"/>
      <w:bookmarkStart w:id="204" w:name="_Toc184314466"/>
      <w:bookmarkEnd w:id="204"/>
      <w:bookmarkStart w:id="205" w:name="_Toc184310273"/>
      <w:bookmarkEnd w:id="205"/>
      <w:bookmarkStart w:id="206" w:name="_Toc184314458"/>
      <w:bookmarkEnd w:id="206"/>
      <w:bookmarkStart w:id="207" w:name="_Toc184312077"/>
      <w:bookmarkEnd w:id="207"/>
      <w:bookmarkStart w:id="208" w:name="_Toc184313241"/>
      <w:bookmarkEnd w:id="208"/>
      <w:bookmarkStart w:id="209" w:name="_Toc184312130"/>
      <w:bookmarkEnd w:id="209"/>
      <w:bookmarkStart w:id="210" w:name="_Toc184310305"/>
      <w:bookmarkEnd w:id="210"/>
      <w:bookmarkStart w:id="211" w:name="_Toc184312087"/>
      <w:bookmarkEnd w:id="211"/>
      <w:bookmarkStart w:id="212" w:name="_Toc184314441"/>
      <w:bookmarkEnd w:id="212"/>
      <w:bookmarkStart w:id="213" w:name="_Toc184308088"/>
      <w:bookmarkEnd w:id="213"/>
      <w:bookmarkStart w:id="214" w:name="_Toc184310334"/>
      <w:bookmarkEnd w:id="214"/>
      <w:bookmarkStart w:id="215" w:name="_Toc184313242"/>
      <w:bookmarkEnd w:id="215"/>
      <w:bookmarkStart w:id="216" w:name="_Toc184312091"/>
      <w:bookmarkEnd w:id="216"/>
      <w:bookmarkStart w:id="217" w:name="_Toc184314475"/>
      <w:bookmarkEnd w:id="217"/>
      <w:bookmarkStart w:id="218" w:name="_Toc184314436"/>
      <w:bookmarkEnd w:id="218"/>
      <w:bookmarkStart w:id="219" w:name="_Toc184312135"/>
      <w:bookmarkEnd w:id="219"/>
      <w:bookmarkStart w:id="220" w:name="_Toc184308099"/>
      <w:bookmarkEnd w:id="220"/>
      <w:bookmarkStart w:id="221" w:name="_Toc184312113"/>
      <w:bookmarkEnd w:id="221"/>
      <w:bookmarkStart w:id="222" w:name="_Toc184312117"/>
      <w:bookmarkEnd w:id="222"/>
      <w:bookmarkStart w:id="223" w:name="_Toc184314476"/>
      <w:bookmarkEnd w:id="223"/>
      <w:bookmarkStart w:id="224" w:name="_Toc184312094"/>
      <w:bookmarkEnd w:id="224"/>
      <w:bookmarkStart w:id="225" w:name="_Toc184308102"/>
      <w:bookmarkEnd w:id="225"/>
      <w:bookmarkStart w:id="226" w:name="_Toc184310308"/>
      <w:bookmarkEnd w:id="226"/>
      <w:bookmarkStart w:id="227" w:name="_Toc184312119"/>
      <w:bookmarkEnd w:id="227"/>
      <w:bookmarkStart w:id="228" w:name="_Toc184308085"/>
      <w:bookmarkEnd w:id="228"/>
      <w:bookmarkStart w:id="229" w:name="_Toc184310340"/>
      <w:bookmarkEnd w:id="229"/>
      <w:bookmarkStart w:id="230" w:name="_Toc184312098"/>
      <w:bookmarkEnd w:id="230"/>
      <w:bookmarkStart w:id="231" w:name="_Toc184312069"/>
      <w:bookmarkEnd w:id="231"/>
      <w:bookmarkStart w:id="232" w:name="_Toc184312126"/>
      <w:bookmarkEnd w:id="232"/>
      <w:bookmarkStart w:id="233" w:name="_Toc184308068"/>
      <w:bookmarkEnd w:id="233"/>
      <w:bookmarkStart w:id="234" w:name="_Toc184314465"/>
      <w:bookmarkEnd w:id="234"/>
      <w:bookmarkStart w:id="235" w:name="_Toc184312116"/>
      <w:bookmarkEnd w:id="235"/>
      <w:bookmarkStart w:id="236" w:name="_Toc184314423"/>
      <w:bookmarkEnd w:id="236"/>
      <w:bookmarkStart w:id="237" w:name="_Toc184312088"/>
      <w:bookmarkEnd w:id="237"/>
      <w:bookmarkStart w:id="238" w:name="_Toc184314446"/>
      <w:bookmarkEnd w:id="238"/>
      <w:bookmarkStart w:id="239" w:name="_Toc184313287"/>
      <w:bookmarkEnd w:id="239"/>
      <w:bookmarkStart w:id="240" w:name="_Toc184313281"/>
      <w:bookmarkEnd w:id="240"/>
      <w:bookmarkStart w:id="241" w:name="_Toc184308072"/>
      <w:bookmarkEnd w:id="241"/>
      <w:bookmarkStart w:id="242" w:name="_Toc184308056"/>
      <w:bookmarkEnd w:id="242"/>
      <w:bookmarkStart w:id="243" w:name="_Toc184314427"/>
      <w:bookmarkEnd w:id="243"/>
      <w:bookmarkStart w:id="244" w:name="_Toc184314413"/>
      <w:bookmarkEnd w:id="244"/>
      <w:bookmarkStart w:id="245" w:name="_Toc184314454"/>
      <w:bookmarkEnd w:id="245"/>
      <w:bookmarkStart w:id="246" w:name="_Toc184312072"/>
      <w:bookmarkEnd w:id="246"/>
      <w:bookmarkStart w:id="247" w:name="_Toc184310294"/>
      <w:bookmarkEnd w:id="247"/>
      <w:bookmarkStart w:id="248" w:name="_Toc184310288"/>
      <w:bookmarkEnd w:id="248"/>
      <w:bookmarkStart w:id="249" w:name="_Toc184313263"/>
      <w:bookmarkEnd w:id="249"/>
      <w:bookmarkStart w:id="250" w:name="_Toc184312125"/>
      <w:bookmarkEnd w:id="250"/>
      <w:bookmarkStart w:id="251" w:name="_Toc184308073"/>
      <w:bookmarkEnd w:id="251"/>
      <w:bookmarkStart w:id="252" w:name="_Toc184314452"/>
      <w:bookmarkEnd w:id="252"/>
      <w:bookmarkStart w:id="253" w:name="_Toc184313258"/>
      <w:bookmarkEnd w:id="253"/>
      <w:bookmarkStart w:id="254" w:name="_Toc184312136"/>
      <w:bookmarkEnd w:id="254"/>
      <w:bookmarkStart w:id="255" w:name="_Toc184310309"/>
      <w:bookmarkEnd w:id="255"/>
      <w:bookmarkStart w:id="256" w:name="_Toc184308076"/>
      <w:bookmarkEnd w:id="256"/>
      <w:bookmarkStart w:id="257" w:name="_Toc184310329"/>
      <w:bookmarkEnd w:id="257"/>
      <w:bookmarkStart w:id="258" w:name="_Toc184312133"/>
      <w:bookmarkEnd w:id="258"/>
      <w:bookmarkStart w:id="259" w:name="_Toc184308098"/>
      <w:bookmarkEnd w:id="259"/>
      <w:bookmarkStart w:id="260" w:name="_Toc184308054"/>
      <w:bookmarkEnd w:id="260"/>
      <w:bookmarkStart w:id="261" w:name="_Toc184312118"/>
      <w:bookmarkEnd w:id="261"/>
      <w:bookmarkStart w:id="262" w:name="_Toc184313288"/>
      <w:bookmarkEnd w:id="262"/>
      <w:bookmarkStart w:id="263" w:name="_Toc184313285"/>
      <w:bookmarkEnd w:id="263"/>
      <w:bookmarkStart w:id="264" w:name="_Toc184310336"/>
      <w:bookmarkEnd w:id="264"/>
      <w:bookmarkStart w:id="265" w:name="_Toc184314424"/>
      <w:bookmarkEnd w:id="265"/>
      <w:bookmarkStart w:id="266" w:name="_Toc184310322"/>
      <w:bookmarkEnd w:id="266"/>
      <w:bookmarkStart w:id="267" w:name="_Toc184308074"/>
      <w:bookmarkEnd w:id="267"/>
      <w:bookmarkStart w:id="268" w:name="_Toc184313303"/>
      <w:bookmarkEnd w:id="268"/>
      <w:bookmarkStart w:id="269" w:name="_Toc184308051"/>
      <w:bookmarkEnd w:id="269"/>
      <w:bookmarkStart w:id="270" w:name="_Toc184313251"/>
      <w:bookmarkEnd w:id="270"/>
      <w:bookmarkStart w:id="271" w:name="_Toc184308095"/>
      <w:bookmarkEnd w:id="271"/>
      <w:bookmarkStart w:id="272" w:name="_Toc184308077"/>
      <w:bookmarkEnd w:id="272"/>
      <w:bookmarkStart w:id="273" w:name="_Toc184314435"/>
      <w:bookmarkEnd w:id="273"/>
      <w:bookmarkStart w:id="274" w:name="_Toc184313290"/>
      <w:bookmarkEnd w:id="274"/>
      <w:bookmarkStart w:id="275" w:name="_Toc184312128"/>
      <w:bookmarkEnd w:id="275"/>
      <w:bookmarkStart w:id="276" w:name="_Toc184312090"/>
      <w:bookmarkEnd w:id="276"/>
      <w:bookmarkStart w:id="277" w:name="_Toc184312131"/>
      <w:bookmarkEnd w:id="277"/>
      <w:bookmarkStart w:id="278" w:name="_Toc184308060"/>
      <w:bookmarkEnd w:id="278"/>
      <w:bookmarkStart w:id="279" w:name="_Toc184314481"/>
      <w:bookmarkEnd w:id="279"/>
      <w:bookmarkStart w:id="280" w:name="_Toc184314437"/>
      <w:bookmarkEnd w:id="280"/>
      <w:bookmarkStart w:id="281" w:name="_Toc184308107"/>
      <w:bookmarkEnd w:id="281"/>
      <w:bookmarkStart w:id="282" w:name="_Toc184313307"/>
      <w:bookmarkEnd w:id="282"/>
      <w:bookmarkStart w:id="283" w:name="_Toc184308047"/>
      <w:bookmarkEnd w:id="283"/>
      <w:bookmarkStart w:id="284" w:name="_Toc184313291"/>
      <w:bookmarkEnd w:id="284"/>
      <w:bookmarkStart w:id="285" w:name="_Toc184308078"/>
      <w:bookmarkEnd w:id="285"/>
      <w:bookmarkStart w:id="286" w:name="_Toc184310280"/>
      <w:bookmarkEnd w:id="286"/>
      <w:bookmarkStart w:id="287" w:name="_Toc184310321"/>
      <w:bookmarkEnd w:id="287"/>
      <w:bookmarkStart w:id="288" w:name="_Toc184310330"/>
      <w:bookmarkEnd w:id="288"/>
      <w:bookmarkStart w:id="289" w:name="_Toc184310298"/>
      <w:bookmarkEnd w:id="289"/>
      <w:bookmarkStart w:id="290" w:name="_Toc184310307"/>
      <w:bookmarkEnd w:id="290"/>
      <w:bookmarkStart w:id="291" w:name="_Toc184313276"/>
      <w:bookmarkEnd w:id="291"/>
      <w:bookmarkStart w:id="292" w:name="_Toc184313249"/>
      <w:bookmarkEnd w:id="292"/>
      <w:bookmarkStart w:id="293" w:name="_Toc184308069"/>
      <w:bookmarkEnd w:id="293"/>
      <w:bookmarkStart w:id="294" w:name="_Toc184310338"/>
      <w:bookmarkEnd w:id="294"/>
      <w:bookmarkStart w:id="295" w:name="_Toc184308070"/>
      <w:bookmarkEnd w:id="295"/>
      <w:bookmarkStart w:id="296" w:name="_Toc184313280"/>
      <w:bookmarkEnd w:id="296"/>
      <w:bookmarkStart w:id="297" w:name="_Toc184312124"/>
      <w:bookmarkEnd w:id="297"/>
      <w:bookmarkStart w:id="298" w:name="_Toc184313253"/>
      <w:bookmarkEnd w:id="298"/>
      <w:bookmarkStart w:id="299" w:name="_Toc184310315"/>
      <w:bookmarkEnd w:id="299"/>
      <w:bookmarkStart w:id="300" w:name="_Toc184312122"/>
      <w:bookmarkEnd w:id="300"/>
      <w:bookmarkStart w:id="301" w:name="_Toc184308058"/>
      <w:bookmarkEnd w:id="301"/>
      <w:bookmarkStart w:id="302" w:name="_Toc184313247"/>
      <w:bookmarkEnd w:id="302"/>
      <w:bookmarkStart w:id="303" w:name="_Toc184313279"/>
      <w:bookmarkEnd w:id="303"/>
      <w:bookmarkStart w:id="304" w:name="_Toc184313293"/>
      <w:bookmarkEnd w:id="304"/>
      <w:bookmarkStart w:id="305" w:name="_Toc184312105"/>
      <w:bookmarkEnd w:id="305"/>
      <w:bookmarkStart w:id="306" w:name="_Toc184308080"/>
      <w:bookmarkEnd w:id="306"/>
      <w:bookmarkStart w:id="307" w:name="_Toc184310327"/>
      <w:bookmarkEnd w:id="307"/>
      <w:bookmarkStart w:id="308" w:name="_Toc184314410"/>
      <w:bookmarkEnd w:id="308"/>
      <w:bookmarkStart w:id="309" w:name="_Toc184314455"/>
      <w:bookmarkEnd w:id="309"/>
      <w:bookmarkStart w:id="310" w:name="_Toc184310313"/>
      <w:bookmarkEnd w:id="310"/>
      <w:bookmarkStart w:id="311" w:name="_Toc184313297"/>
      <w:bookmarkEnd w:id="311"/>
      <w:bookmarkStart w:id="312" w:name="_Toc184308092"/>
      <w:bookmarkEnd w:id="312"/>
      <w:bookmarkStart w:id="313" w:name="_Toc184310293"/>
      <w:bookmarkEnd w:id="313"/>
      <w:bookmarkStart w:id="314" w:name="_Toc184308053"/>
      <w:bookmarkEnd w:id="314"/>
      <w:bookmarkStart w:id="315" w:name="_Toc184313255"/>
      <w:bookmarkEnd w:id="315"/>
      <w:bookmarkStart w:id="316" w:name="_Toc184308050"/>
      <w:bookmarkEnd w:id="316"/>
      <w:bookmarkStart w:id="317" w:name="_Toc184313278"/>
      <w:bookmarkEnd w:id="317"/>
      <w:bookmarkStart w:id="318" w:name="_Toc184310310"/>
      <w:bookmarkEnd w:id="318"/>
      <w:bookmarkStart w:id="319" w:name="_Toc184313289"/>
      <w:bookmarkEnd w:id="319"/>
      <w:bookmarkStart w:id="320" w:name="_Toc184308097"/>
      <w:bookmarkEnd w:id="320"/>
      <w:bookmarkStart w:id="321" w:name="_Toc184313240"/>
      <w:bookmarkEnd w:id="321"/>
      <w:bookmarkStart w:id="322" w:name="_Toc184314426"/>
      <w:bookmarkEnd w:id="322"/>
      <w:bookmarkStart w:id="323" w:name="_Toc184310281"/>
      <w:bookmarkEnd w:id="323"/>
      <w:bookmarkStart w:id="324" w:name="_Toc184312110"/>
      <w:bookmarkEnd w:id="324"/>
      <w:bookmarkStart w:id="325" w:name="_Toc184312070"/>
      <w:bookmarkEnd w:id="325"/>
      <w:bookmarkStart w:id="326" w:name="_Toc184308101"/>
      <w:bookmarkEnd w:id="326"/>
      <w:bookmarkStart w:id="327" w:name="_Toc184308036"/>
      <w:bookmarkEnd w:id="327"/>
      <w:bookmarkStart w:id="328" w:name="_Toc184313296"/>
      <w:bookmarkEnd w:id="328"/>
      <w:bookmarkStart w:id="329" w:name="_Toc184313250"/>
      <w:bookmarkEnd w:id="329"/>
      <w:bookmarkStart w:id="330" w:name="_Toc184313286"/>
      <w:bookmarkEnd w:id="330"/>
      <w:bookmarkStart w:id="331" w:name="_Toc184314469"/>
      <w:bookmarkEnd w:id="331"/>
      <w:bookmarkStart w:id="332" w:name="_Toc184314456"/>
      <w:bookmarkEnd w:id="332"/>
      <w:bookmarkStart w:id="333" w:name="_Toc184310302"/>
      <w:bookmarkEnd w:id="333"/>
      <w:bookmarkStart w:id="334" w:name="_Toc184310306"/>
      <w:bookmarkEnd w:id="334"/>
      <w:bookmarkStart w:id="335" w:name="_Toc184314422"/>
      <w:bookmarkEnd w:id="335"/>
      <w:bookmarkStart w:id="336" w:name="_Toc184314464"/>
      <w:bookmarkEnd w:id="336"/>
      <w:bookmarkStart w:id="337" w:name="_Toc184314451"/>
      <w:bookmarkEnd w:id="337"/>
      <w:bookmarkStart w:id="338" w:name="_Toc184313268"/>
      <w:bookmarkEnd w:id="338"/>
      <w:bookmarkStart w:id="339" w:name="_Toc184310343"/>
      <w:bookmarkEnd w:id="339"/>
      <w:bookmarkStart w:id="340" w:name="_Toc184314429"/>
      <w:bookmarkEnd w:id="340"/>
      <w:bookmarkStart w:id="341" w:name="_Toc184310300"/>
      <w:bookmarkEnd w:id="341"/>
      <w:bookmarkStart w:id="342" w:name="_Toc184310292"/>
      <w:bookmarkEnd w:id="342"/>
      <w:bookmarkStart w:id="343" w:name="_Toc184313275"/>
      <w:bookmarkEnd w:id="343"/>
      <w:bookmarkStart w:id="344" w:name="_Toc184313269"/>
      <w:bookmarkEnd w:id="344"/>
      <w:bookmarkStart w:id="345" w:name="_Toc184308082"/>
      <w:bookmarkEnd w:id="345"/>
      <w:bookmarkStart w:id="346" w:name="_Toc184308052"/>
      <w:bookmarkEnd w:id="346"/>
      <w:bookmarkStart w:id="347" w:name="_Toc184312107"/>
      <w:bookmarkEnd w:id="347"/>
      <w:bookmarkStart w:id="348" w:name="_Toc184314471"/>
      <w:bookmarkEnd w:id="348"/>
      <w:bookmarkStart w:id="349" w:name="_Toc184314430"/>
      <w:bookmarkEnd w:id="349"/>
      <w:bookmarkStart w:id="350" w:name="_Toc184310320"/>
      <w:bookmarkEnd w:id="350"/>
      <w:bookmarkStart w:id="351" w:name="_Toc184313252"/>
      <w:bookmarkEnd w:id="351"/>
      <w:bookmarkStart w:id="352" w:name="_Toc184313302"/>
      <w:bookmarkEnd w:id="352"/>
      <w:bookmarkStart w:id="353" w:name="_Toc184313305"/>
      <w:bookmarkEnd w:id="353"/>
      <w:bookmarkStart w:id="354" w:name="_Toc184313271"/>
      <w:bookmarkEnd w:id="354"/>
      <w:bookmarkStart w:id="355" w:name="_Toc184310295"/>
      <w:bookmarkEnd w:id="355"/>
      <w:bookmarkStart w:id="356" w:name="_Toc184310332"/>
      <w:bookmarkEnd w:id="356"/>
      <w:bookmarkStart w:id="357" w:name="_Toc184308093"/>
      <w:bookmarkEnd w:id="357"/>
      <w:bookmarkStart w:id="358" w:name="_Toc184313283"/>
      <w:bookmarkEnd w:id="358"/>
      <w:bookmarkStart w:id="359" w:name="_Toc184312103"/>
      <w:bookmarkEnd w:id="359"/>
      <w:bookmarkStart w:id="360" w:name="_Toc184314448"/>
      <w:bookmarkEnd w:id="360"/>
      <w:bookmarkStart w:id="361" w:name="_Toc184308063"/>
      <w:bookmarkEnd w:id="361"/>
      <w:bookmarkStart w:id="362" w:name="_Toc184313309"/>
      <w:bookmarkEnd w:id="362"/>
      <w:bookmarkStart w:id="363" w:name="_Toc184313284"/>
      <w:bookmarkEnd w:id="363"/>
      <w:bookmarkStart w:id="364" w:name="_Toc184312080"/>
      <w:bookmarkEnd w:id="364"/>
      <w:bookmarkStart w:id="365" w:name="_Toc184308045"/>
      <w:bookmarkEnd w:id="365"/>
      <w:bookmarkStart w:id="366" w:name="_Toc184312101"/>
      <w:bookmarkEnd w:id="366"/>
      <w:bookmarkStart w:id="367" w:name="_Toc184310282"/>
      <w:bookmarkEnd w:id="367"/>
      <w:bookmarkStart w:id="368" w:name="_Toc184313292"/>
      <w:bookmarkEnd w:id="368"/>
      <w:bookmarkStart w:id="369" w:name="_Toc184314428"/>
      <w:bookmarkEnd w:id="369"/>
      <w:bookmarkStart w:id="370" w:name="_Toc184313238"/>
      <w:bookmarkEnd w:id="370"/>
      <w:bookmarkStart w:id="371" w:name="_Toc184313306"/>
      <w:bookmarkEnd w:id="371"/>
      <w:bookmarkStart w:id="372" w:name="_Toc184312067"/>
      <w:bookmarkEnd w:id="372"/>
      <w:bookmarkStart w:id="373" w:name="_Toc184312085"/>
      <w:bookmarkEnd w:id="373"/>
      <w:bookmarkStart w:id="374" w:name="_Toc184314415"/>
      <w:bookmarkEnd w:id="374"/>
      <w:bookmarkStart w:id="375" w:name="_Toc184312139"/>
      <w:bookmarkEnd w:id="375"/>
      <w:bookmarkStart w:id="376" w:name="_Toc184314450"/>
      <w:bookmarkEnd w:id="376"/>
      <w:bookmarkStart w:id="377" w:name="_Toc184310283"/>
      <w:bookmarkEnd w:id="377"/>
      <w:bookmarkStart w:id="378" w:name="_Toc184312104"/>
      <w:bookmarkEnd w:id="378"/>
      <w:bookmarkStart w:id="379" w:name="_Toc184312115"/>
      <w:bookmarkEnd w:id="379"/>
      <w:bookmarkStart w:id="380" w:name="_Toc184312075"/>
      <w:bookmarkEnd w:id="380"/>
      <w:bookmarkStart w:id="381" w:name="_Toc184314421"/>
      <w:bookmarkEnd w:id="381"/>
      <w:bookmarkStart w:id="382" w:name="_Toc184313244"/>
      <w:bookmarkEnd w:id="382"/>
      <w:bookmarkStart w:id="383" w:name="_Toc184310323"/>
      <w:bookmarkEnd w:id="383"/>
      <w:bookmarkStart w:id="384" w:name="_Toc184314444"/>
      <w:bookmarkEnd w:id="384"/>
      <w:bookmarkStart w:id="385" w:name="_Toc184310289"/>
      <w:bookmarkEnd w:id="385"/>
      <w:bookmarkStart w:id="386" w:name="_Toc184314449"/>
      <w:bookmarkEnd w:id="386"/>
      <w:bookmarkStart w:id="387" w:name="_Toc184310319"/>
      <w:bookmarkEnd w:id="387"/>
      <w:bookmarkStart w:id="388" w:name="_Toc184314414"/>
      <w:bookmarkEnd w:id="388"/>
      <w:bookmarkStart w:id="389" w:name="_Toc184314420"/>
      <w:bookmarkEnd w:id="389"/>
      <w:bookmarkStart w:id="390" w:name="_Toc184310299"/>
      <w:bookmarkEnd w:id="390"/>
      <w:bookmarkStart w:id="391" w:name="_Toc184312099"/>
      <w:bookmarkEnd w:id="391"/>
      <w:bookmarkStart w:id="392" w:name="_Toc184312079"/>
      <w:bookmarkEnd w:id="392"/>
      <w:bookmarkStart w:id="393" w:name="_Toc184308079"/>
      <w:bookmarkEnd w:id="39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pPr w:leftFromText="180" w:rightFromText="180" w:vertAnchor="text" w:horzAnchor="page" w:tblpX="1031" w:tblpY="126"/>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ascii="宋体" w:hAnsi="宋体" w:cs="宋体"/>
                <w:bCs/>
                <w:sz w:val="24"/>
              </w:rPr>
            </w:pPr>
            <w:r>
              <w:rPr>
                <w:rFonts w:hint="eastAsia" w:ascii="宋体" w:hAnsi="宋体" w:cs="宋体"/>
                <w:bCs/>
                <w:sz w:val="24"/>
              </w:rPr>
              <w:t>序号</w:t>
            </w:r>
          </w:p>
        </w:tc>
        <w:tc>
          <w:tcPr>
            <w:tcW w:w="5399" w:type="dxa"/>
            <w:vAlign w:val="center"/>
          </w:tcPr>
          <w:p>
            <w:pPr>
              <w:spacing w:line="360" w:lineRule="auto"/>
              <w:ind w:firstLine="1560" w:firstLineChars="650"/>
              <w:outlineLvl w:val="0"/>
              <w:rPr>
                <w:rFonts w:ascii="宋体" w:hAnsi="宋体" w:cs="宋体"/>
                <w:bCs/>
                <w:sz w:val="24"/>
              </w:rPr>
            </w:pPr>
            <w:r>
              <w:rPr>
                <w:rFonts w:hint="eastAsia" w:ascii="宋体" w:hAnsi="宋体" w:cs="宋体"/>
                <w:bCs/>
                <w:sz w:val="24"/>
              </w:rPr>
              <w:t>评标标准</w:t>
            </w:r>
          </w:p>
        </w:tc>
        <w:tc>
          <w:tcPr>
            <w:tcW w:w="727" w:type="dxa"/>
            <w:vAlign w:val="center"/>
          </w:tcPr>
          <w:p>
            <w:pPr>
              <w:spacing w:line="360" w:lineRule="auto"/>
              <w:outlineLvl w:val="0"/>
              <w:rPr>
                <w:rFonts w:ascii="宋体" w:hAnsi="宋体" w:cs="宋体"/>
                <w:bCs/>
                <w:sz w:val="24"/>
              </w:rPr>
            </w:pPr>
            <w:r>
              <w:rPr>
                <w:rFonts w:hint="eastAsia" w:ascii="宋体" w:hAnsi="宋体" w:cs="宋体"/>
                <w:bCs/>
                <w:sz w:val="24"/>
              </w:rPr>
              <w:t>权重</w:t>
            </w:r>
          </w:p>
        </w:tc>
        <w:tc>
          <w:tcPr>
            <w:tcW w:w="1954" w:type="dxa"/>
          </w:tcPr>
          <w:p>
            <w:pPr>
              <w:spacing w:line="360" w:lineRule="auto"/>
              <w:outlineLvl w:val="0"/>
              <w:rPr>
                <w:rFonts w:ascii="宋体" w:hAnsi="宋体" w:cs="宋体"/>
                <w:bCs/>
                <w:sz w:val="24"/>
              </w:rPr>
            </w:pPr>
            <w:r>
              <w:rPr>
                <w:rFonts w:hint="eastAsia" w:ascii="宋体" w:hAnsi="宋体" w:cs="宋体"/>
                <w:bCs/>
                <w:sz w:val="24"/>
              </w:rPr>
              <w:t>投标文件中评标标准相应的商务技术资料目录</w:t>
            </w:r>
            <w:r>
              <w:rPr>
                <w:rFonts w:hint="eastAsia" w:ascii="宋体" w:hAnsi="宋体" w:cs="宋体"/>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1</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全部满足招标文件“车辆基本要求”的得30分；打●号为重要技术指标，每一条负偏离扣4分，对于非打●号的技术指标，每一条负偏离扣1分，扣完为止。</w:t>
            </w:r>
          </w:p>
          <w:p>
            <w:pPr>
              <w:spacing w:line="360" w:lineRule="auto"/>
              <w:outlineLvl w:val="0"/>
              <w:rPr>
                <w:rFonts w:ascii="宋体" w:hAnsi="宋体" w:cs="宋体"/>
                <w:sz w:val="24"/>
              </w:rPr>
            </w:pPr>
            <w:r>
              <w:rPr>
                <w:rFonts w:hint="eastAsia" w:ascii="宋体" w:hAnsi="宋体" w:cs="宋体"/>
                <w:sz w:val="24"/>
              </w:rPr>
              <w:t>（注：以上技术指标如出现偏离必须在《商务技术偏离表》中完整体现，如有虚假应标，将作无效标处理。）</w:t>
            </w:r>
          </w:p>
        </w:tc>
        <w:tc>
          <w:tcPr>
            <w:tcW w:w="727" w:type="dxa"/>
          </w:tcPr>
          <w:p>
            <w:pPr>
              <w:rPr>
                <w:rFonts w:ascii="宋体" w:hAnsi="宋体" w:cs="宋体"/>
              </w:rPr>
            </w:pPr>
          </w:p>
          <w:p>
            <w:pPr>
              <w:spacing w:line="360" w:lineRule="auto"/>
              <w:ind w:firstLine="240" w:firstLineChars="100"/>
              <w:outlineLvl w:val="0"/>
              <w:rPr>
                <w:rFonts w:ascii="宋体" w:hAnsi="宋体" w:cs="宋体"/>
                <w:sz w:val="24"/>
              </w:rPr>
            </w:pPr>
            <w:r>
              <w:rPr>
                <w:rFonts w:hint="eastAsia" w:ascii="宋体" w:hAnsi="宋体" w:cs="宋体"/>
                <w:sz w:val="24"/>
              </w:rPr>
              <w:t>30</w:t>
            </w:r>
          </w:p>
        </w:tc>
        <w:tc>
          <w:tcPr>
            <w:tcW w:w="1954" w:type="dxa"/>
          </w:tcPr>
          <w:p>
            <w:pPr>
              <w:spacing w:line="360" w:lineRule="auto"/>
              <w:outlineLvl w:val="0"/>
              <w:rPr>
                <w:rFonts w:ascii="宋体" w:hAnsi="宋体" w:cs="宋体"/>
                <w:sz w:val="24"/>
              </w:rPr>
            </w:pPr>
            <w:r>
              <w:rPr>
                <w:rFonts w:hint="eastAsia" w:ascii="宋体" w:hAnsi="宋体" w:cs="宋体"/>
                <w:sz w:val="24"/>
              </w:rPr>
              <w:t>对技术参数的响应情况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2</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1）投标单位对招标文件“服务要求”第1项的响应情况（0-4分）：</w:t>
            </w:r>
          </w:p>
          <w:p>
            <w:pPr>
              <w:spacing w:line="360" w:lineRule="auto"/>
              <w:outlineLvl w:val="0"/>
              <w:rPr>
                <w:rFonts w:ascii="宋体" w:hAnsi="宋体" w:cs="宋体"/>
                <w:sz w:val="24"/>
              </w:rPr>
            </w:pPr>
            <w:r>
              <w:rPr>
                <w:rFonts w:hint="eastAsia" w:ascii="宋体" w:hAnsi="宋体" w:cs="宋体"/>
                <w:sz w:val="24"/>
              </w:rPr>
              <w:t>a、出租方配置有数字化管理平台系统。（1分）</w:t>
            </w:r>
          </w:p>
          <w:p>
            <w:pPr>
              <w:spacing w:line="360" w:lineRule="auto"/>
              <w:outlineLvl w:val="0"/>
              <w:rPr>
                <w:rFonts w:ascii="宋体" w:hAnsi="宋体" w:cs="宋体"/>
                <w:sz w:val="24"/>
              </w:rPr>
            </w:pPr>
            <w:r>
              <w:rPr>
                <w:rFonts w:hint="eastAsia" w:ascii="宋体" w:hAnsi="宋体" w:cs="宋体"/>
                <w:sz w:val="24"/>
              </w:rPr>
              <w:t>b、配有安装GPS定位设备和系统功能。（0.5分）</w:t>
            </w:r>
          </w:p>
          <w:p>
            <w:pPr>
              <w:spacing w:line="360" w:lineRule="auto"/>
              <w:outlineLvl w:val="0"/>
              <w:rPr>
                <w:rFonts w:ascii="宋体" w:hAnsi="宋体" w:cs="宋体"/>
                <w:sz w:val="24"/>
              </w:rPr>
            </w:pPr>
            <w:r>
              <w:rPr>
                <w:rFonts w:hint="eastAsia" w:ascii="宋体" w:hAnsi="宋体" w:cs="宋体"/>
                <w:sz w:val="24"/>
              </w:rPr>
              <w:t>c、建有车辆离线围栏（车辆超出使用区域范围报警系统）。（0.5分）</w:t>
            </w:r>
          </w:p>
          <w:p>
            <w:pPr>
              <w:spacing w:line="360" w:lineRule="auto"/>
              <w:outlineLvl w:val="0"/>
              <w:rPr>
                <w:rFonts w:ascii="宋体" w:hAnsi="宋体" w:cs="宋体"/>
                <w:sz w:val="24"/>
              </w:rPr>
            </w:pPr>
            <w:r>
              <w:rPr>
                <w:rFonts w:hint="eastAsia" w:ascii="宋体" w:hAnsi="宋体" w:cs="宋体"/>
                <w:sz w:val="24"/>
              </w:rPr>
              <w:t>d、建有用车预约报备功能。（0.5分）</w:t>
            </w:r>
          </w:p>
          <w:p>
            <w:pPr>
              <w:spacing w:line="360" w:lineRule="auto"/>
              <w:outlineLvl w:val="0"/>
              <w:rPr>
                <w:rFonts w:ascii="宋体" w:hAnsi="宋体" w:cs="宋体"/>
                <w:sz w:val="24"/>
              </w:rPr>
            </w:pPr>
            <w:r>
              <w:rPr>
                <w:rFonts w:hint="eastAsia" w:ascii="宋体" w:hAnsi="宋体" w:cs="宋体"/>
                <w:sz w:val="24"/>
              </w:rPr>
              <w:t>e、建有充电时间、充电量管理功能。（0.5分）</w:t>
            </w:r>
          </w:p>
          <w:p>
            <w:pPr>
              <w:spacing w:line="360" w:lineRule="auto"/>
              <w:outlineLvl w:val="0"/>
              <w:rPr>
                <w:rFonts w:ascii="宋体" w:hAnsi="宋体" w:cs="宋体"/>
                <w:sz w:val="24"/>
              </w:rPr>
            </w:pPr>
            <w:r>
              <w:rPr>
                <w:rFonts w:hint="eastAsia" w:ascii="宋体" w:hAnsi="宋体" w:cs="宋体"/>
                <w:sz w:val="24"/>
              </w:rPr>
              <w:t>f、建有可实时查看用车车辆情况日报表功能。（1分）</w:t>
            </w:r>
          </w:p>
          <w:p>
            <w:pPr>
              <w:spacing w:line="360" w:lineRule="auto"/>
              <w:outlineLvl w:val="0"/>
              <w:rPr>
                <w:rFonts w:ascii="宋体" w:hAnsi="宋体" w:cs="宋体"/>
                <w:sz w:val="24"/>
              </w:rPr>
            </w:pPr>
            <w:r>
              <w:rPr>
                <w:rFonts w:hint="eastAsia" w:ascii="宋体" w:hAnsi="宋体" w:cs="宋体"/>
                <w:sz w:val="24"/>
              </w:rPr>
              <w:t>（须在投标文件中提供系统拥有人证明材料和系统各功能运行截图并加盖公章，否则不得分）</w:t>
            </w:r>
          </w:p>
          <w:p>
            <w:pPr>
              <w:spacing w:line="360" w:lineRule="auto"/>
              <w:outlineLvl w:val="0"/>
              <w:rPr>
                <w:rFonts w:ascii="宋体" w:hAnsi="宋体" w:cs="宋体"/>
                <w:sz w:val="24"/>
              </w:rPr>
            </w:pPr>
            <w:r>
              <w:rPr>
                <w:rFonts w:hint="eastAsia" w:ascii="宋体" w:hAnsi="宋体" w:cs="宋体"/>
                <w:sz w:val="24"/>
              </w:rPr>
              <w:t>2）投标单位对招标文件“服务要求”第2项-第12项做出承诺的得11分，每缺一条或未按要求承诺的扣1分，扣完为止。</w:t>
            </w:r>
          </w:p>
        </w:tc>
        <w:tc>
          <w:tcPr>
            <w:tcW w:w="727" w:type="dxa"/>
          </w:tcPr>
          <w:p>
            <w:pPr>
              <w:rPr>
                <w:rFonts w:ascii="宋体" w:hAnsi="宋体" w:cs="宋体"/>
              </w:rPr>
            </w:pPr>
          </w:p>
          <w:p>
            <w:pPr>
              <w:spacing w:line="360" w:lineRule="auto"/>
              <w:ind w:firstLine="240" w:firstLineChars="100"/>
              <w:outlineLvl w:val="0"/>
              <w:rPr>
                <w:rFonts w:ascii="宋体" w:hAnsi="宋体" w:cs="宋体"/>
                <w:sz w:val="24"/>
              </w:rPr>
            </w:pPr>
            <w:r>
              <w:rPr>
                <w:rFonts w:hint="eastAsia" w:ascii="宋体" w:hAnsi="宋体" w:cs="宋体"/>
                <w:sz w:val="24"/>
              </w:rPr>
              <w:t>15</w:t>
            </w:r>
          </w:p>
        </w:tc>
        <w:tc>
          <w:tcPr>
            <w:tcW w:w="1954" w:type="dxa"/>
          </w:tcPr>
          <w:p>
            <w:pPr>
              <w:spacing w:line="360" w:lineRule="auto"/>
              <w:outlineLvl w:val="0"/>
              <w:rPr>
                <w:rFonts w:ascii="宋体" w:hAnsi="宋体" w:cs="宋体"/>
                <w:sz w:val="24"/>
              </w:rPr>
            </w:pPr>
            <w:r>
              <w:rPr>
                <w:rFonts w:hint="eastAsia" w:ascii="宋体" w:hAnsi="宋体" w:cs="宋体"/>
                <w:sz w:val="24"/>
              </w:rPr>
              <w:t>对服务要求响应情况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3</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至少包括①拟投入车辆的保额②车辆具体保险配置。</w:t>
            </w:r>
          </w:p>
          <w:p>
            <w:pPr>
              <w:spacing w:line="360" w:lineRule="auto"/>
              <w:outlineLvl w:val="0"/>
              <w:rPr>
                <w:rFonts w:ascii="宋体" w:hAnsi="宋体" w:cs="宋体"/>
                <w:sz w:val="24"/>
              </w:rPr>
            </w:pPr>
            <w:r>
              <w:rPr>
                <w:rFonts w:hint="eastAsia" w:ascii="宋体" w:hAnsi="宋体" w:cs="宋体"/>
                <w:sz w:val="24"/>
              </w:rPr>
              <w:t>每项满分2分，共计4分。其中每项方案内容完整合理、针对性强得满分，内容欠完整合理、针对性一般得1分，内容缺失不合理、针对性差不得分。</w:t>
            </w:r>
          </w:p>
        </w:tc>
        <w:tc>
          <w:tcPr>
            <w:tcW w:w="727" w:type="dxa"/>
          </w:tcPr>
          <w:p>
            <w:pPr>
              <w:spacing w:line="360" w:lineRule="auto"/>
              <w:ind w:firstLine="240" w:firstLineChars="100"/>
              <w:outlineLvl w:val="0"/>
              <w:rPr>
                <w:rFonts w:ascii="宋体" w:hAnsi="宋体" w:cs="宋体"/>
                <w:sz w:val="24"/>
              </w:rPr>
            </w:pPr>
          </w:p>
          <w:p>
            <w:pPr>
              <w:spacing w:line="360" w:lineRule="auto"/>
              <w:ind w:firstLine="210" w:firstLineChars="100"/>
              <w:outlineLvl w:val="0"/>
            </w:pPr>
            <w:r>
              <w:rPr>
                <w:rFonts w:hint="eastAsia"/>
              </w:rPr>
              <w:t xml:space="preserve"> </w:t>
            </w:r>
            <w:r>
              <w:rPr>
                <w:rFonts w:hint="eastAsia" w:ascii="宋体" w:hAnsi="宋体" w:cs="宋体"/>
                <w:sz w:val="24"/>
              </w:rPr>
              <w:t>4</w:t>
            </w:r>
          </w:p>
        </w:tc>
        <w:tc>
          <w:tcPr>
            <w:tcW w:w="1954" w:type="dxa"/>
          </w:tcPr>
          <w:p>
            <w:pPr>
              <w:spacing w:line="360" w:lineRule="auto"/>
              <w:outlineLvl w:val="0"/>
              <w:rPr>
                <w:rFonts w:ascii="宋体" w:hAnsi="宋体" w:cs="宋体"/>
                <w:sz w:val="24"/>
              </w:rPr>
            </w:pPr>
            <w:r>
              <w:rPr>
                <w:rFonts w:hint="eastAsia" w:ascii="宋体" w:hAnsi="宋体" w:cs="宋体"/>
                <w:sz w:val="24"/>
              </w:rPr>
              <w:t>车辆保险的配置方案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4</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本项目的管理人员的组织架构；②人员配置方案（至少包括项目负责人、技术负责人、车辆专管员、事故处理联络员、商务专员（含服务监督专员、投诉处理专员）等）；③岗位职责方案（明确岗位负责人、技术负责人、车辆专管员、事故处理联络员、商务专员（含服务监督专员、投诉处理专员）等责任）；④投诉受理场所配置；⑤服务质量监督方案；⑥投诉处理方案。</w:t>
            </w:r>
          </w:p>
          <w:p>
            <w:pPr>
              <w:spacing w:line="360" w:lineRule="auto"/>
              <w:outlineLvl w:val="0"/>
              <w:rPr>
                <w:rFonts w:ascii="宋体" w:hAnsi="宋体" w:cs="宋体"/>
                <w:sz w:val="24"/>
              </w:rPr>
            </w:pPr>
            <w:r>
              <w:rPr>
                <w:rFonts w:hint="eastAsia" w:ascii="宋体" w:hAnsi="宋体" w:cs="宋体"/>
                <w:sz w:val="24"/>
              </w:rPr>
              <w:t>每项满分2分，共计12分。其中每项方案内容完整合理、针对性强得满分，内容欠完整合理、针对性一般得1分，内容缺失不合理、针对性差不得分。</w:t>
            </w:r>
          </w:p>
        </w:tc>
        <w:tc>
          <w:tcPr>
            <w:tcW w:w="727" w:type="dxa"/>
          </w:tcPr>
          <w:p>
            <w:pPr>
              <w:rPr>
                <w:rFonts w:ascii="宋体" w:hAnsi="宋体" w:cs="宋体"/>
              </w:rPr>
            </w:pPr>
          </w:p>
          <w:p>
            <w:pPr>
              <w:spacing w:line="360" w:lineRule="auto"/>
              <w:ind w:firstLine="240" w:firstLineChars="100"/>
              <w:outlineLvl w:val="0"/>
              <w:rPr>
                <w:rFonts w:ascii="宋体" w:hAnsi="宋体" w:cs="宋体"/>
                <w:sz w:val="24"/>
              </w:rPr>
            </w:pPr>
            <w:r>
              <w:rPr>
                <w:rFonts w:hint="eastAsia" w:ascii="宋体" w:hAnsi="宋体" w:cs="宋体"/>
                <w:sz w:val="24"/>
              </w:rPr>
              <w:t>12</w:t>
            </w:r>
          </w:p>
        </w:tc>
        <w:tc>
          <w:tcPr>
            <w:tcW w:w="1954" w:type="dxa"/>
          </w:tcPr>
          <w:p>
            <w:pPr>
              <w:spacing w:line="360" w:lineRule="auto"/>
              <w:outlineLvl w:val="0"/>
              <w:rPr>
                <w:rFonts w:ascii="宋体" w:hAnsi="宋体" w:cs="宋体"/>
                <w:sz w:val="24"/>
              </w:rPr>
            </w:pPr>
            <w:r>
              <w:rPr>
                <w:rFonts w:hint="eastAsia" w:ascii="宋体" w:hAnsi="宋体" w:cs="宋体"/>
                <w:sz w:val="24"/>
              </w:rPr>
              <w:t>供应商管理团队配置方案、服务监督以及处理用户投诉的措施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5</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至少包含对车辆故障的处理方案。</w:t>
            </w:r>
          </w:p>
          <w:p>
            <w:pPr>
              <w:spacing w:line="360" w:lineRule="auto"/>
              <w:outlineLvl w:val="0"/>
              <w:rPr>
                <w:rFonts w:ascii="宋体" w:hAnsi="宋体" w:cs="宋体"/>
                <w:sz w:val="24"/>
              </w:rPr>
            </w:pPr>
            <w:r>
              <w:rPr>
                <w:rFonts w:hint="eastAsia" w:ascii="宋体" w:hAnsi="宋体" w:cs="宋体"/>
                <w:sz w:val="24"/>
              </w:rPr>
              <w:t>满分2分，方案内容完整合理、针对性强得满分，内容欠完整合理、针对性一般得1分，内容缺失不合理、针对性差不得分。</w:t>
            </w:r>
          </w:p>
        </w:tc>
        <w:tc>
          <w:tcPr>
            <w:tcW w:w="727" w:type="dxa"/>
          </w:tcPr>
          <w:p>
            <w:pPr>
              <w:rPr>
                <w:rFonts w:ascii="宋体" w:hAnsi="宋体" w:cs="宋体"/>
              </w:rPr>
            </w:pPr>
          </w:p>
          <w:p>
            <w:pPr>
              <w:spacing w:line="360" w:lineRule="auto"/>
              <w:ind w:firstLine="210" w:firstLineChars="100"/>
              <w:outlineLvl w:val="0"/>
            </w:pPr>
            <w:r>
              <w:rPr>
                <w:rFonts w:hint="eastAsia"/>
              </w:rPr>
              <w:t xml:space="preserve"> </w:t>
            </w:r>
            <w:r>
              <w:rPr>
                <w:rFonts w:hint="eastAsia" w:ascii="宋体" w:hAnsi="宋体" w:cs="宋体"/>
                <w:sz w:val="24"/>
              </w:rPr>
              <w:t>2</w:t>
            </w:r>
          </w:p>
        </w:tc>
        <w:tc>
          <w:tcPr>
            <w:tcW w:w="1954" w:type="dxa"/>
          </w:tcPr>
          <w:p>
            <w:pPr>
              <w:spacing w:line="360" w:lineRule="auto"/>
              <w:outlineLvl w:val="0"/>
              <w:rPr>
                <w:rFonts w:ascii="宋体" w:hAnsi="宋体" w:cs="宋体"/>
                <w:sz w:val="24"/>
              </w:rPr>
            </w:pPr>
            <w:r>
              <w:rPr>
                <w:rFonts w:hint="eastAsia" w:ascii="宋体" w:hAnsi="宋体" w:cs="宋体"/>
                <w:sz w:val="24"/>
              </w:rPr>
              <w:t>车辆故障处理的方案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6</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至少包括①拟投入本项目车辆的维修保养制度、②具体维修方案③相关维保地点的基本情况介绍等。</w:t>
            </w:r>
          </w:p>
          <w:p>
            <w:pPr>
              <w:spacing w:line="360" w:lineRule="auto"/>
              <w:outlineLvl w:val="0"/>
              <w:rPr>
                <w:rFonts w:ascii="宋体" w:hAnsi="宋体" w:cs="宋体"/>
                <w:sz w:val="24"/>
              </w:rPr>
            </w:pPr>
            <w:r>
              <w:rPr>
                <w:rFonts w:hint="eastAsia" w:ascii="宋体" w:hAnsi="宋体" w:cs="宋体"/>
                <w:sz w:val="24"/>
              </w:rPr>
              <w:t>每项满分2分，共计6分。其中每项方案内容完整合理、针对性强得满分，内容欠完整合理、针对性一般得1分，内容缺失不合理、针对性差不得分。</w:t>
            </w:r>
          </w:p>
        </w:tc>
        <w:tc>
          <w:tcPr>
            <w:tcW w:w="727" w:type="dxa"/>
          </w:tcPr>
          <w:p>
            <w:pPr>
              <w:rPr>
                <w:rFonts w:ascii="宋体" w:hAnsi="宋体" w:cs="宋体"/>
              </w:rPr>
            </w:pPr>
          </w:p>
          <w:p>
            <w:pPr>
              <w:spacing w:line="360" w:lineRule="auto"/>
              <w:outlineLvl w:val="0"/>
            </w:pPr>
            <w:r>
              <w:rPr>
                <w:rFonts w:hint="eastAsia"/>
              </w:rPr>
              <w:t xml:space="preserve">  </w:t>
            </w:r>
            <w:r>
              <w:rPr>
                <w:rFonts w:hint="eastAsia" w:ascii="宋体" w:hAnsi="宋体" w:cs="宋体"/>
                <w:sz w:val="24"/>
              </w:rPr>
              <w:t>6</w:t>
            </w:r>
          </w:p>
        </w:tc>
        <w:tc>
          <w:tcPr>
            <w:tcW w:w="1954" w:type="dxa"/>
          </w:tcPr>
          <w:p>
            <w:pPr>
              <w:spacing w:line="360" w:lineRule="auto"/>
              <w:outlineLvl w:val="0"/>
              <w:rPr>
                <w:rFonts w:ascii="宋体" w:hAnsi="宋体" w:cs="宋体"/>
                <w:sz w:val="24"/>
              </w:rPr>
            </w:pPr>
            <w:r>
              <w:rPr>
                <w:rFonts w:hint="eastAsia" w:ascii="宋体" w:hAnsi="宋体" w:cs="宋体"/>
                <w:sz w:val="24"/>
              </w:rPr>
              <w:t>车辆保养的方案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7</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至少包括①服务期间道路救援②替代车③事故处理④临时用车等方案。</w:t>
            </w:r>
          </w:p>
          <w:p>
            <w:pPr>
              <w:spacing w:line="360" w:lineRule="auto"/>
              <w:outlineLvl w:val="0"/>
              <w:rPr>
                <w:rFonts w:ascii="宋体" w:hAnsi="宋体" w:cs="宋体"/>
                <w:sz w:val="24"/>
              </w:rPr>
            </w:pPr>
            <w:r>
              <w:rPr>
                <w:rFonts w:hint="eastAsia" w:ascii="宋体" w:hAnsi="宋体" w:cs="宋体"/>
                <w:sz w:val="24"/>
              </w:rPr>
              <w:t>每项满分2分，共计8分。其中每项方案内容完整合理、针对性强得满分，内容欠完整合理、针对性一般得 1分，内容缺失不合理、针对性差不得分。</w:t>
            </w:r>
          </w:p>
        </w:tc>
        <w:tc>
          <w:tcPr>
            <w:tcW w:w="727" w:type="dxa"/>
          </w:tcPr>
          <w:p>
            <w:pPr>
              <w:rPr>
                <w:rFonts w:ascii="宋体" w:hAnsi="宋体" w:cs="宋体"/>
              </w:rPr>
            </w:pPr>
          </w:p>
          <w:p>
            <w:pPr>
              <w:spacing w:line="360" w:lineRule="auto"/>
              <w:outlineLvl w:val="0"/>
              <w:rPr>
                <w:rFonts w:asciiTheme="minorEastAsia" w:hAnsiTheme="minorEastAsia" w:eastAsiaTheme="minorEastAsia"/>
                <w:sz w:val="24"/>
              </w:rPr>
            </w:pPr>
            <w:r>
              <w:rPr>
                <w:rFonts w:hint="eastAsia" w:ascii="仿宋_GB2312" w:hAnsi="仿宋" w:eastAsia="仿宋_GB2312"/>
                <w:b/>
                <w:bCs/>
                <w:sz w:val="32"/>
                <w:szCs w:val="32"/>
              </w:rPr>
              <w:t xml:space="preserve">  </w:t>
            </w:r>
            <w:r>
              <w:rPr>
                <w:rFonts w:hint="eastAsia" w:asciiTheme="minorEastAsia" w:hAnsiTheme="minorEastAsia" w:eastAsiaTheme="minorEastAsia"/>
                <w:sz w:val="24"/>
              </w:rPr>
              <w:t>8</w:t>
            </w:r>
          </w:p>
        </w:tc>
        <w:tc>
          <w:tcPr>
            <w:tcW w:w="1954" w:type="dxa"/>
          </w:tcPr>
          <w:p>
            <w:pPr>
              <w:spacing w:line="360" w:lineRule="auto"/>
              <w:outlineLvl w:val="0"/>
              <w:rPr>
                <w:rFonts w:ascii="宋体" w:hAnsi="宋体" w:cs="宋体"/>
                <w:sz w:val="24"/>
              </w:rPr>
            </w:pPr>
            <w:r>
              <w:rPr>
                <w:rFonts w:hint="eastAsia" w:ascii="宋体" w:hAnsi="宋体" w:cs="宋体"/>
                <w:sz w:val="24"/>
              </w:rPr>
              <w:t>应急保障措施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8</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供应商提供合理且针对性强的的事故逃生方案的得2分；内容欠完整合理、针对性一般得1分；内容不合理或缺失不得分。</w:t>
            </w:r>
          </w:p>
        </w:tc>
        <w:tc>
          <w:tcPr>
            <w:tcW w:w="727" w:type="dxa"/>
          </w:tcPr>
          <w:p>
            <w:pPr>
              <w:rPr>
                <w:rFonts w:ascii="宋体" w:hAnsi="宋体" w:cs="宋体"/>
              </w:rPr>
            </w:pPr>
          </w:p>
          <w:p>
            <w:pPr>
              <w:spacing w:line="360" w:lineRule="auto"/>
              <w:ind w:firstLine="240" w:firstLineChars="100"/>
              <w:outlineLvl w:val="0"/>
            </w:pPr>
            <w:r>
              <w:rPr>
                <w:rFonts w:hint="eastAsia" w:asciiTheme="minorEastAsia" w:hAnsiTheme="minorEastAsia" w:eastAsiaTheme="minorEastAsia"/>
                <w:sz w:val="24"/>
              </w:rPr>
              <w:t>2</w:t>
            </w:r>
          </w:p>
        </w:tc>
        <w:tc>
          <w:tcPr>
            <w:tcW w:w="1954" w:type="dxa"/>
          </w:tcPr>
          <w:p>
            <w:pPr>
              <w:spacing w:line="360" w:lineRule="auto"/>
              <w:outlineLvl w:val="0"/>
              <w:rPr>
                <w:rFonts w:ascii="宋体" w:hAnsi="宋体" w:cs="宋体"/>
                <w:sz w:val="24"/>
              </w:rPr>
            </w:pPr>
            <w:r>
              <w:rPr>
                <w:rFonts w:hint="eastAsia" w:ascii="宋体" w:hAnsi="宋体" w:cs="宋体"/>
                <w:sz w:val="24"/>
              </w:rPr>
              <w:t>事故逃生方案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9</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供应商提供合理且针对性强的防遗忘方案的得2分；内容欠完整合理、针对性一般得1分；内容不合理或缺失不得分。</w:t>
            </w:r>
          </w:p>
        </w:tc>
        <w:tc>
          <w:tcPr>
            <w:tcW w:w="727" w:type="dxa"/>
          </w:tcPr>
          <w:p>
            <w:pPr>
              <w:rPr>
                <w:rFonts w:ascii="宋体" w:hAnsi="宋体" w:cs="宋体"/>
              </w:rPr>
            </w:pPr>
          </w:p>
          <w:p>
            <w:pPr>
              <w:spacing w:line="360" w:lineRule="auto"/>
              <w:ind w:firstLine="240" w:firstLineChars="100"/>
              <w:outlineLvl w:val="0"/>
            </w:pPr>
            <w:r>
              <w:rPr>
                <w:rFonts w:hint="eastAsia" w:asciiTheme="minorEastAsia" w:hAnsiTheme="minorEastAsia" w:eastAsiaTheme="minorEastAsia"/>
                <w:sz w:val="24"/>
              </w:rPr>
              <w:t>2</w:t>
            </w:r>
          </w:p>
        </w:tc>
        <w:tc>
          <w:tcPr>
            <w:tcW w:w="1954" w:type="dxa"/>
          </w:tcPr>
          <w:p>
            <w:pPr>
              <w:spacing w:line="360" w:lineRule="auto"/>
              <w:outlineLvl w:val="0"/>
              <w:rPr>
                <w:rFonts w:ascii="宋体" w:hAnsi="宋体" w:cs="宋体"/>
                <w:sz w:val="24"/>
              </w:rPr>
            </w:pPr>
            <w:r>
              <w:rPr>
                <w:rFonts w:hint="eastAsia" w:ascii="宋体" w:hAnsi="宋体" w:cs="宋体"/>
                <w:sz w:val="24"/>
              </w:rPr>
              <w:t>防遗忘方案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10</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至少包括①车辆基本信息②证件登记③保养情况④车辆技术性能。</w:t>
            </w:r>
          </w:p>
          <w:p>
            <w:pPr>
              <w:spacing w:line="360" w:lineRule="auto"/>
              <w:outlineLvl w:val="0"/>
              <w:rPr>
                <w:rFonts w:ascii="宋体" w:hAnsi="宋体" w:cs="宋体"/>
                <w:sz w:val="24"/>
              </w:rPr>
            </w:pPr>
            <w:r>
              <w:rPr>
                <w:rFonts w:hint="eastAsia" w:ascii="宋体" w:hAnsi="宋体" w:cs="宋体"/>
                <w:sz w:val="24"/>
              </w:rPr>
              <w:t>每项满分1分，共计4分。其中每项方案内容完整合理、针对性强得满分，内容欠完整合理、针对性一般得0.5分，内容缺失不合理、针对性差不得分。</w:t>
            </w:r>
          </w:p>
        </w:tc>
        <w:tc>
          <w:tcPr>
            <w:tcW w:w="727" w:type="dxa"/>
          </w:tcPr>
          <w:p>
            <w:pPr>
              <w:rPr>
                <w:rFonts w:ascii="宋体" w:hAnsi="宋体" w:cs="宋体"/>
              </w:rPr>
            </w:pPr>
          </w:p>
          <w:p>
            <w:pPr>
              <w:spacing w:line="360" w:lineRule="auto"/>
              <w:ind w:firstLine="240" w:firstLineChars="100"/>
              <w:outlineLvl w:val="0"/>
              <w:rPr>
                <w:rFonts w:ascii="宋体" w:hAnsi="宋体" w:cs="宋体"/>
              </w:rPr>
            </w:pPr>
            <w:r>
              <w:rPr>
                <w:rFonts w:hint="eastAsia" w:asciiTheme="minorEastAsia" w:hAnsiTheme="minorEastAsia" w:eastAsiaTheme="minorEastAsia"/>
                <w:sz w:val="24"/>
              </w:rPr>
              <w:t>4</w:t>
            </w:r>
          </w:p>
        </w:tc>
        <w:tc>
          <w:tcPr>
            <w:tcW w:w="1954" w:type="dxa"/>
          </w:tcPr>
          <w:p>
            <w:pPr>
              <w:spacing w:line="360" w:lineRule="auto"/>
              <w:outlineLvl w:val="0"/>
              <w:rPr>
                <w:rFonts w:ascii="宋体" w:hAnsi="宋体" w:cs="宋体"/>
                <w:sz w:val="24"/>
              </w:rPr>
            </w:pPr>
            <w:r>
              <w:rPr>
                <w:rFonts w:hint="eastAsia" w:ascii="宋体" w:hAnsi="宋体" w:cs="宋体"/>
                <w:sz w:val="24"/>
              </w:rPr>
              <w:t>车辆信息建档管理方案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11</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至少包括①汽车使用须知②充电安全操作③常见故障排除④行车安全教育。</w:t>
            </w:r>
          </w:p>
          <w:p>
            <w:pPr>
              <w:spacing w:line="360" w:lineRule="auto"/>
              <w:outlineLvl w:val="0"/>
              <w:rPr>
                <w:rFonts w:ascii="宋体" w:hAnsi="宋体" w:cs="宋体"/>
                <w:sz w:val="24"/>
              </w:rPr>
            </w:pPr>
            <w:r>
              <w:rPr>
                <w:rFonts w:hint="eastAsia" w:ascii="宋体" w:hAnsi="宋体" w:cs="宋体"/>
                <w:sz w:val="24"/>
              </w:rPr>
              <w:t>每项满分1分，共计4分。其中每项方案内容完整合理、针对性强得满分，内容欠完整合理、针对性一般得0.5分，内容缺失不合理、针对性差不得分。</w:t>
            </w:r>
          </w:p>
        </w:tc>
        <w:tc>
          <w:tcPr>
            <w:tcW w:w="727" w:type="dxa"/>
          </w:tcPr>
          <w:p>
            <w:pPr>
              <w:rPr>
                <w:rFonts w:ascii="宋体" w:hAnsi="宋体" w:cs="宋体"/>
              </w:rPr>
            </w:pPr>
          </w:p>
          <w:p>
            <w:pPr>
              <w:spacing w:line="360" w:lineRule="auto"/>
              <w:ind w:firstLine="240" w:firstLineChars="100"/>
              <w:outlineLvl w:val="0"/>
              <w:rPr>
                <w:rFonts w:ascii="宋体" w:hAnsi="宋体" w:cs="宋体"/>
              </w:rPr>
            </w:pPr>
            <w:r>
              <w:rPr>
                <w:rFonts w:hint="eastAsia" w:asciiTheme="minorEastAsia" w:hAnsiTheme="minorEastAsia" w:eastAsiaTheme="minorEastAsia"/>
                <w:sz w:val="24"/>
              </w:rPr>
              <w:t>4</w:t>
            </w:r>
          </w:p>
        </w:tc>
        <w:tc>
          <w:tcPr>
            <w:tcW w:w="1954" w:type="dxa"/>
          </w:tcPr>
          <w:p>
            <w:pPr>
              <w:spacing w:line="360" w:lineRule="auto"/>
              <w:outlineLvl w:val="0"/>
              <w:rPr>
                <w:rFonts w:ascii="宋体" w:hAnsi="宋体" w:cs="宋体"/>
                <w:sz w:val="24"/>
              </w:rPr>
            </w:pPr>
            <w:r>
              <w:rPr>
                <w:rFonts w:hint="eastAsia" w:ascii="宋体" w:hAnsi="宋体" w:cs="宋体"/>
                <w:sz w:val="24"/>
              </w:rPr>
              <w:t>车辆使用培训方案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ascii="宋体" w:hAnsi="宋体" w:cs="宋体"/>
                <w:sz w:val="24"/>
              </w:rPr>
            </w:pPr>
            <w:r>
              <w:rPr>
                <w:rFonts w:hint="eastAsia" w:ascii="宋体" w:hAnsi="宋体" w:cs="宋体"/>
                <w:sz w:val="24"/>
              </w:rPr>
              <w:t>12</w:t>
            </w:r>
          </w:p>
        </w:tc>
        <w:tc>
          <w:tcPr>
            <w:tcW w:w="5399" w:type="dxa"/>
            <w:vAlign w:val="center"/>
          </w:tcPr>
          <w:p>
            <w:pPr>
              <w:spacing w:line="360" w:lineRule="auto"/>
              <w:outlineLvl w:val="0"/>
              <w:rPr>
                <w:rFonts w:ascii="宋体" w:hAnsi="宋体" w:cs="宋体"/>
                <w:sz w:val="24"/>
              </w:rPr>
            </w:pPr>
            <w:r>
              <w:rPr>
                <w:rFonts w:hint="eastAsia" w:ascii="宋体" w:hAnsi="宋体" w:cs="宋体"/>
                <w:sz w:val="24"/>
              </w:rPr>
              <w:t>投标人自2019年1月1日（含）至今承接过类似项目的，每个项目得0.5分，本项最高得1分。（时间以合同签订时间为准，投标文件中提供合同复印件或扫描打印件并加盖投标人公章，否则不得分）</w:t>
            </w:r>
          </w:p>
        </w:tc>
        <w:tc>
          <w:tcPr>
            <w:tcW w:w="727" w:type="dxa"/>
          </w:tcPr>
          <w:p>
            <w:pPr>
              <w:rPr>
                <w:rFonts w:ascii="宋体" w:hAnsi="宋体" w:cs="宋体"/>
              </w:rPr>
            </w:pPr>
          </w:p>
          <w:p>
            <w:pPr>
              <w:spacing w:line="360" w:lineRule="auto"/>
              <w:ind w:firstLine="240" w:firstLineChars="100"/>
              <w:outlineLvl w:val="0"/>
            </w:pPr>
            <w:r>
              <w:rPr>
                <w:rFonts w:hint="eastAsia" w:asciiTheme="minorEastAsia" w:hAnsiTheme="minorEastAsia" w:eastAsiaTheme="minorEastAsia"/>
                <w:sz w:val="24"/>
              </w:rPr>
              <w:t>1</w:t>
            </w:r>
          </w:p>
        </w:tc>
        <w:tc>
          <w:tcPr>
            <w:tcW w:w="1954" w:type="dxa"/>
          </w:tcPr>
          <w:p>
            <w:pPr>
              <w:spacing w:line="360" w:lineRule="auto"/>
              <w:outlineLvl w:val="0"/>
              <w:rPr>
                <w:rFonts w:ascii="宋体" w:hAnsi="宋体" w:cs="宋体"/>
                <w:sz w:val="24"/>
              </w:rPr>
            </w:pPr>
            <w:r>
              <w:rPr>
                <w:rFonts w:hint="eastAsia" w:ascii="宋体" w:hAnsi="宋体" w:cs="宋体"/>
                <w:sz w:val="24"/>
              </w:rPr>
              <w:t>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835" w:type="dxa"/>
            <w:vAlign w:val="center"/>
          </w:tcPr>
          <w:p>
            <w:pPr>
              <w:spacing w:line="360" w:lineRule="auto"/>
              <w:ind w:firstLine="240" w:firstLineChars="100"/>
              <w:outlineLvl w:val="0"/>
              <w:rPr>
                <w:rFonts w:ascii="宋体" w:hAnsi="宋体" w:cs="宋体"/>
                <w:sz w:val="24"/>
              </w:rPr>
            </w:pPr>
            <w:r>
              <w:rPr>
                <w:rFonts w:hint="eastAsia" w:ascii="宋体" w:hAnsi="宋体" w:cs="宋体"/>
                <w:sz w:val="24"/>
              </w:rPr>
              <w:t xml:space="preserve"> </w:t>
            </w:r>
          </w:p>
        </w:tc>
        <w:tc>
          <w:tcPr>
            <w:tcW w:w="5399" w:type="dxa"/>
          </w:tcPr>
          <w:p>
            <w:pPr>
              <w:spacing w:line="360" w:lineRule="auto"/>
              <w:outlineLvl w:val="0"/>
              <w:rPr>
                <w:rFonts w:ascii="宋体" w:hAnsi="宋体" w:cs="宋体"/>
                <w:sz w:val="24"/>
              </w:rPr>
            </w:pPr>
            <w:r>
              <w:rPr>
                <w:rFonts w:hint="eastAsia" w:ascii="宋体" w:hAnsi="宋体" w:cs="宋体"/>
                <w:sz w:val="24"/>
              </w:rPr>
              <w:t>有效投标报价的最低价作为评标基准价，其最低报价为满分；按［投标报价得分=（评标基准价/投标报价）*</w:t>
            </w:r>
            <w:r>
              <w:rPr>
                <w:rFonts w:ascii="宋体" w:hAnsi="宋体" w:cs="宋体"/>
                <w:sz w:val="24"/>
              </w:rPr>
              <w:t>1</w:t>
            </w:r>
            <w:r>
              <w:rPr>
                <w:rFonts w:hint="eastAsia" w:ascii="宋体" w:hAnsi="宋体" w:cs="宋体"/>
                <w:sz w:val="24"/>
              </w:rPr>
              <w:t>0］的计算公式计算。</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因落实政府采购政策需要进行价格调整的，以调整后的价格计算评标基准价和投标报价。</w:t>
            </w:r>
          </w:p>
        </w:tc>
        <w:tc>
          <w:tcPr>
            <w:tcW w:w="727" w:type="dxa"/>
            <w:vAlign w:val="center"/>
          </w:tcPr>
          <w:p>
            <w:pPr>
              <w:spacing w:line="360" w:lineRule="auto"/>
              <w:ind w:firstLine="120" w:firstLineChars="50"/>
              <w:outlineLvl w:val="0"/>
              <w:rPr>
                <w:rFonts w:ascii="宋体" w:hAnsi="宋体" w:cs="宋体"/>
                <w:sz w:val="24"/>
              </w:rPr>
            </w:pPr>
            <w:r>
              <w:rPr>
                <w:rFonts w:ascii="宋体" w:hAnsi="宋体" w:cs="宋体"/>
                <w:sz w:val="24"/>
              </w:rPr>
              <w:t>10</w:t>
            </w:r>
          </w:p>
        </w:tc>
        <w:tc>
          <w:tcPr>
            <w:tcW w:w="1954" w:type="dxa"/>
            <w:vAlign w:val="center"/>
          </w:tcPr>
          <w:p>
            <w:pPr>
              <w:spacing w:line="360" w:lineRule="auto"/>
              <w:jc w:val="center"/>
              <w:outlineLvl w:val="0"/>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835" w:type="dxa"/>
            <w:vAlign w:val="center"/>
          </w:tcPr>
          <w:p>
            <w:pPr>
              <w:spacing w:line="360" w:lineRule="auto"/>
              <w:ind w:firstLine="240" w:firstLineChars="100"/>
              <w:outlineLvl w:val="0"/>
              <w:rPr>
                <w:rFonts w:ascii="宋体" w:hAnsi="宋体" w:cs="宋体"/>
                <w:sz w:val="24"/>
              </w:rPr>
            </w:pPr>
          </w:p>
        </w:tc>
        <w:tc>
          <w:tcPr>
            <w:tcW w:w="5399" w:type="dxa"/>
          </w:tcPr>
          <w:p>
            <w:pPr>
              <w:widowControl/>
              <w:shd w:val="clear" w:color="auto" w:fill="FFFFFF"/>
              <w:adjustRightInd/>
              <w:spacing w:after="225" w:line="315" w:lineRule="atLeast"/>
              <w:ind w:firstLine="420"/>
              <w:jc w:val="left"/>
              <w:rPr>
                <w:rFonts w:ascii="宋体" w:hAnsi="宋体" w:cs="宋体"/>
                <w:sz w:val="24"/>
              </w:rPr>
            </w:pPr>
            <w:r>
              <w:rPr>
                <w:rFonts w:hint="eastAsia" w:ascii="宋体" w:hAnsi="宋体" w:cs="宋体"/>
                <w:sz w:val="24"/>
              </w:rPr>
              <w:t>注意：不得以特定金额的业绩作为评审因素，政府采购货物和服务项目业绩分不得高于价格分的10%。</w:t>
            </w:r>
          </w:p>
        </w:tc>
        <w:tc>
          <w:tcPr>
            <w:tcW w:w="727" w:type="dxa"/>
            <w:vAlign w:val="center"/>
          </w:tcPr>
          <w:p>
            <w:pPr>
              <w:spacing w:line="360" w:lineRule="auto"/>
              <w:ind w:firstLine="120" w:firstLineChars="50"/>
              <w:outlineLvl w:val="0"/>
              <w:rPr>
                <w:rFonts w:ascii="宋体" w:hAnsi="宋体" w:cs="宋体"/>
                <w:sz w:val="24"/>
              </w:rPr>
            </w:pPr>
          </w:p>
        </w:tc>
        <w:tc>
          <w:tcPr>
            <w:tcW w:w="1954" w:type="dxa"/>
            <w:vAlign w:val="center"/>
          </w:tcPr>
          <w:p>
            <w:pPr>
              <w:spacing w:line="360" w:lineRule="auto"/>
              <w:jc w:val="center"/>
              <w:outlineLvl w:val="0"/>
              <w:rPr>
                <w:rFonts w:ascii="宋体" w:hAnsi="宋体" w:cs="宋体"/>
                <w:sz w:val="24"/>
              </w:rPr>
            </w:pP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4"/>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1"/>
        <w:spacing w:before="120" w:line="22" w:lineRule="atLeast"/>
        <w:rPr>
          <w:rFonts w:ascii="宋体" w:hAnsi="宋体" w:eastAsia="宋体" w:cs="宋体"/>
          <w:szCs w:val="24"/>
        </w:rPr>
      </w:pPr>
    </w:p>
    <w:p>
      <w:pPr>
        <w:pStyle w:val="281"/>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（采购人名称）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（同前</w:t>
      </w:r>
      <w:r>
        <w:rPr>
          <w:rFonts w:hint="eastAsia" w:ascii="宋体" w:hAnsi="宋体"/>
          <w:sz w:val="24"/>
          <w:u w:val="single"/>
        </w:rPr>
        <w:t>页项目名称）</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（中标供应商名称） </w:t>
      </w:r>
      <w:r>
        <w:rPr>
          <w:rFonts w:hint="eastAsia" w:ascii="宋体" w:hAnsi="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（采购人名称）   </w:t>
      </w:r>
      <w:r>
        <w:rPr>
          <w:rFonts w:ascii="宋体" w:hAnsi="宋体"/>
          <w:sz w:val="24"/>
          <w:lang w:val="zh-CN"/>
        </w:rPr>
        <w:t>(以下简称：甲方)和</w:t>
      </w:r>
      <w:r>
        <w:rPr>
          <w:rFonts w:ascii="宋体" w:hAnsi="宋体"/>
          <w:sz w:val="24"/>
          <w:u w:val="single"/>
        </w:rPr>
        <w:t xml:space="preserve">   （中标供应商名称）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22967"/>
      <w:bookmarkStart w:id="397" w:name="_Toc20421"/>
      <w:bookmarkStart w:id="398" w:name="_Toc15367"/>
      <w:bookmarkStart w:id="399" w:name="_Toc28855"/>
      <w:bookmarkStart w:id="400" w:name="_Toc19273"/>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招标文件（含澄清或者修改文件）；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6311"/>
      <w:bookmarkStart w:id="402" w:name="_Toc2918"/>
      <w:bookmarkStart w:id="403" w:name="_Toc18585"/>
      <w:bookmarkStart w:id="404" w:name="_Toc22185"/>
      <w:bookmarkStart w:id="405" w:name="_Toc6773"/>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标的</w:t>
      </w:r>
      <w:r>
        <w:rPr>
          <w:rFonts w:ascii="宋体" w:hAnsi="宋体"/>
          <w:sz w:val="24"/>
        </w:rPr>
        <w:t>名称：</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标的</w:t>
      </w:r>
      <w:r>
        <w:rPr>
          <w:rFonts w:ascii="宋体" w:hAnsi="宋体"/>
          <w:sz w:val="24"/>
        </w:rPr>
        <w:t>数量：</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1.2.3 </w:t>
      </w:r>
      <w:r>
        <w:rPr>
          <w:rFonts w:hint="eastAsia" w:ascii="宋体" w:hAnsi="宋体"/>
          <w:sz w:val="24"/>
        </w:rPr>
        <w:t>标的质量：</w:t>
      </w:r>
      <w:r>
        <w:rPr>
          <w:rFonts w:ascii="宋体" w:hAnsi="宋体"/>
          <w:sz w:val="24"/>
          <w:u w:val="single"/>
        </w:rPr>
        <w:t xml:space="preserve">　　　　　　　　　                      　      </w:t>
      </w:r>
      <w:r>
        <w:rPr>
          <w:rFonts w:hint="eastAsia" w:ascii="宋体" w:hAnsi="宋体"/>
          <w:sz w:val="24"/>
        </w:rPr>
        <w:t>。</w:t>
      </w:r>
    </w:p>
    <w:p>
      <w:pPr>
        <w:spacing w:line="560" w:lineRule="exact"/>
        <w:ind w:firstLine="482" w:firstLineChars="200"/>
        <w:outlineLvl w:val="0"/>
        <w:rPr>
          <w:rFonts w:ascii="宋体" w:hAnsi="宋体"/>
          <w:b/>
          <w:sz w:val="24"/>
        </w:rPr>
      </w:pPr>
      <w:bookmarkStart w:id="406" w:name="_Toc5635"/>
      <w:bookmarkStart w:id="407" w:name="_Toc1386"/>
      <w:bookmarkStart w:id="408" w:name="_Toc4929"/>
      <w:bookmarkStart w:id="409" w:name="_Toc13918"/>
      <w:bookmarkStart w:id="410" w:name="_Toc21124"/>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bookmarkStart w:id="411" w:name="_Toc26916"/>
      <w:bookmarkStart w:id="412" w:name="_Toc30158"/>
      <w:bookmarkStart w:id="413" w:name="_Toc3654"/>
      <w:bookmarkStart w:id="414" w:name="_Toc14993"/>
      <w:bookmarkStart w:id="415" w:name="_Toc30506"/>
      <w:r>
        <w:rPr>
          <w:rFonts w:ascii="宋体" w:hAnsi="宋体"/>
          <w:b/>
          <w:sz w:val="24"/>
        </w:rPr>
        <w:t>1.4 付款方式和发票开具方式</w:t>
      </w:r>
      <w:bookmarkEnd w:id="411"/>
      <w:bookmarkEnd w:id="412"/>
      <w:bookmarkEnd w:id="413"/>
      <w:bookmarkEnd w:id="414"/>
      <w:bookmarkEnd w:id="415"/>
    </w:p>
    <w:p>
      <w:pPr>
        <w:pStyle w:val="616"/>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sz w:val="24"/>
        </w:rPr>
      </w:pPr>
      <w:r>
        <w:rPr>
          <w:rFonts w:ascii="宋体" w:hAnsi="宋体"/>
          <w:sz w:val="24"/>
        </w:rPr>
        <w:t xml:space="preserve">1.4.2 </w:t>
      </w:r>
      <w:r>
        <w:rPr>
          <w:rFonts w:hint="eastAsia" w:ascii="宋体" w:hAnsi="宋体"/>
          <w:sz w:val="24"/>
        </w:rPr>
        <w:t>合同预付款比例为合同金额的</w:t>
      </w:r>
      <w:r>
        <w:rPr>
          <w:rFonts w:ascii="宋体" w:hAnsi="宋体"/>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宋体" w:hAnsi="宋体"/>
          <w:sz w:val="24"/>
        </w:rPr>
        <w:t>政府采购工程以及与工程建设有关的货物、服务，采用招标方式采购的，预付款从其相关规定。乙方可登录政采云前台大厅选择金融服务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sz w:val="24"/>
        </w:rPr>
      </w:pPr>
      <w:r>
        <w:rPr>
          <w:rFonts w:hint="eastAsia" w:ascii="宋体" w:hAnsi="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b/>
          <w:sz w:val="24"/>
        </w:rPr>
      </w:pPr>
      <w:bookmarkStart w:id="416" w:name="_Toc4760"/>
      <w:bookmarkStart w:id="417" w:name="_Toc8772"/>
      <w:bookmarkStart w:id="418" w:name="_Toc31421"/>
      <w:bookmarkStart w:id="419" w:name="_Toc11108"/>
      <w:bookmarkStart w:id="420" w:name="_Toc3625"/>
      <w:r>
        <w:rPr>
          <w:rFonts w:ascii="宋体" w:hAnsi="宋体"/>
          <w:b/>
          <w:sz w:val="24"/>
        </w:rPr>
        <w:t>1.5 履行期限</w:t>
      </w:r>
      <w:r>
        <w:rPr>
          <w:rFonts w:hint="eastAsia" w:ascii="宋体" w:hAnsi="宋体"/>
          <w:b/>
          <w:sz w:val="24"/>
        </w:rPr>
        <w:t>、地点和方式</w:t>
      </w:r>
      <w:bookmarkEnd w:id="416"/>
      <w:bookmarkEnd w:id="417"/>
      <w:bookmarkEnd w:id="418"/>
      <w:bookmarkEnd w:id="419"/>
      <w:bookmarkEnd w:id="420"/>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hAnsi="宋体"/>
          <w:sz w:val="24"/>
          <w:u w:val="single"/>
        </w:rPr>
      </w:pPr>
      <w:bookmarkStart w:id="421" w:name="_Toc2375"/>
      <w:bookmarkStart w:id="422" w:name="_Toc24662"/>
      <w:bookmarkStart w:id="423" w:name="_Toc3079"/>
      <w:bookmarkStart w:id="424" w:name="_Toc5698"/>
      <w:bookmarkStart w:id="425" w:name="_Toc8586"/>
      <w:r>
        <w:rPr>
          <w:rFonts w:ascii="宋体" w:hAnsi="宋体"/>
          <w:b/>
          <w:sz w:val="24"/>
        </w:rPr>
        <w:t xml:space="preserve">1.6 </w:t>
      </w:r>
      <w:r>
        <w:rPr>
          <w:rFonts w:hint="eastAsia" w:ascii="宋体" w:hAnsi="宋体"/>
          <w:b/>
          <w:sz w:val="24"/>
        </w:rPr>
        <w:t>违约责任</w:t>
      </w:r>
      <w:bookmarkEnd w:id="421"/>
      <w:bookmarkEnd w:id="422"/>
      <w:bookmarkEnd w:id="423"/>
      <w:bookmarkEnd w:id="424"/>
      <w:bookmarkEnd w:id="425"/>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26" w:name="_Toc18683"/>
      <w:bookmarkStart w:id="427" w:name="_Toc32454"/>
      <w:bookmarkStart w:id="428" w:name="_Toc26807"/>
      <w:bookmarkStart w:id="429" w:name="_Toc30329"/>
      <w:bookmarkStart w:id="430" w:name="_Toc9497"/>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26"/>
      <w:bookmarkEnd w:id="427"/>
      <w:bookmarkEnd w:id="428"/>
      <w:bookmarkEnd w:id="429"/>
      <w:bookmarkEnd w:id="430"/>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31" w:name="_Toc26227"/>
      <w:bookmarkStart w:id="432" w:name="_Toc16417"/>
      <w:bookmarkStart w:id="433" w:name="_Toc12273"/>
      <w:bookmarkStart w:id="434" w:name="_Toc23784"/>
      <w:bookmarkStart w:id="435" w:name="_Toc15827"/>
      <w:r>
        <w:rPr>
          <w:rFonts w:ascii="宋体" w:hAnsi="宋体"/>
          <w:b/>
          <w:sz w:val="24"/>
        </w:rPr>
        <w:t>1.8 合同生效</w:t>
      </w:r>
      <w:bookmarkEnd w:id="431"/>
      <w:bookmarkEnd w:id="432"/>
      <w:bookmarkEnd w:id="433"/>
      <w:bookmarkEnd w:id="434"/>
      <w:bookmarkEnd w:id="435"/>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pStyle w:val="384"/>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6" w:name="_Toc19680"/>
      <w:bookmarkStart w:id="437" w:name="_Toc25079"/>
      <w:bookmarkStart w:id="438" w:name="_Toc5228"/>
      <w:bookmarkStart w:id="439" w:name="_Toc31297"/>
      <w:bookmarkStart w:id="440" w:name="_Toc14021"/>
      <w:r>
        <w:rPr>
          <w:rFonts w:ascii="宋体" w:hAnsi="宋体"/>
          <w:b/>
          <w:sz w:val="24"/>
        </w:rPr>
        <w:t>2.1 定义</w:t>
      </w:r>
      <w:bookmarkEnd w:id="436"/>
      <w:bookmarkEnd w:id="437"/>
      <w:bookmarkEnd w:id="438"/>
      <w:bookmarkEnd w:id="439"/>
      <w:bookmarkEnd w:id="44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1" w:name="_Toc19539"/>
      <w:bookmarkStart w:id="442" w:name="_Toc31402"/>
      <w:bookmarkStart w:id="443" w:name="_Toc3769"/>
      <w:bookmarkStart w:id="444" w:name="_Toc23289"/>
      <w:bookmarkStart w:id="445" w:name="_Toc16752"/>
      <w:r>
        <w:rPr>
          <w:rFonts w:ascii="宋体" w:hAnsi="宋体"/>
          <w:b/>
          <w:sz w:val="24"/>
        </w:rPr>
        <w:t>2.2 技术规范</w:t>
      </w:r>
      <w:bookmarkEnd w:id="441"/>
      <w:bookmarkEnd w:id="442"/>
      <w:bookmarkEnd w:id="443"/>
      <w:bookmarkEnd w:id="444"/>
      <w:bookmarkEnd w:id="44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6" w:name="_Toc4133"/>
      <w:bookmarkStart w:id="447" w:name="_Toc27945"/>
      <w:bookmarkStart w:id="448" w:name="_Toc9161"/>
      <w:bookmarkStart w:id="449" w:name="_Toc12412"/>
      <w:bookmarkStart w:id="450" w:name="_Toc13673"/>
      <w:r>
        <w:rPr>
          <w:rFonts w:ascii="宋体" w:hAnsi="宋体"/>
          <w:b/>
          <w:sz w:val="24"/>
        </w:rPr>
        <w:t>2.3 知识产权</w:t>
      </w:r>
      <w:bookmarkEnd w:id="446"/>
      <w:bookmarkEnd w:id="447"/>
      <w:bookmarkEnd w:id="448"/>
      <w:bookmarkEnd w:id="449"/>
      <w:bookmarkEnd w:id="45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1" w:name="_Toc13467"/>
      <w:bookmarkStart w:id="452" w:name="_Toc18990"/>
      <w:bookmarkStart w:id="453" w:name="_Toc13154"/>
      <w:bookmarkStart w:id="454" w:name="_Toc30507"/>
      <w:bookmarkStart w:id="455" w:name="_Toc16163"/>
      <w:r>
        <w:rPr>
          <w:rFonts w:ascii="宋体" w:hAnsi="宋体"/>
          <w:b/>
          <w:sz w:val="24"/>
        </w:rPr>
        <w:t>2.</w:t>
      </w:r>
      <w:r>
        <w:rPr>
          <w:rFonts w:hint="eastAsia" w:ascii="宋体" w:hAnsi="宋体"/>
          <w:b/>
          <w:sz w:val="24"/>
        </w:rPr>
        <w:t>5</w:t>
      </w:r>
      <w:r>
        <w:rPr>
          <w:rFonts w:ascii="宋体" w:hAnsi="宋体"/>
          <w:b/>
          <w:sz w:val="24"/>
        </w:rPr>
        <w:t xml:space="preserve"> 技术资料和保密义务</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 xml:space="preserve">.2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5</w:t>
      </w:r>
      <w:r>
        <w:rPr>
          <w:rFonts w:ascii="宋体" w:hAnsi="宋体"/>
          <w:sz w:val="24"/>
        </w:rPr>
        <w:t xml:space="preserve">.3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56" w:name="_Toc19069"/>
      <w:r>
        <w:rPr>
          <w:rFonts w:ascii="宋体" w:hAnsi="宋体"/>
          <w:b/>
          <w:sz w:val="24"/>
        </w:rPr>
        <w:t>2.</w:t>
      </w:r>
      <w:r>
        <w:rPr>
          <w:rFonts w:hint="eastAsia" w:ascii="宋体" w:hAnsi="宋体"/>
          <w:b/>
          <w:sz w:val="24"/>
        </w:rPr>
        <w:t>6</w:t>
      </w:r>
      <w:r>
        <w:rPr>
          <w:rFonts w:ascii="宋体" w:hAnsi="宋体"/>
          <w:b/>
          <w:sz w:val="24"/>
        </w:rPr>
        <w:t xml:space="preserve"> </w:t>
      </w:r>
      <w:r>
        <w:rPr>
          <w:rFonts w:hint="eastAsia" w:ascii="宋体" w:hAnsi="宋体"/>
          <w:b/>
          <w:sz w:val="24"/>
        </w:rPr>
        <w:t>质量保证</w:t>
      </w:r>
      <w:bookmarkEnd w:id="456"/>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2.</w:t>
      </w:r>
      <w:r>
        <w:rPr>
          <w:rFonts w:hint="eastAsia" w:ascii="宋体" w:hAnsi="宋体"/>
          <w:sz w:val="24"/>
        </w:rPr>
        <w:t>6</w:t>
      </w:r>
      <w:r>
        <w:rPr>
          <w:rFonts w:ascii="宋体" w:hAnsi="宋体"/>
          <w:sz w:val="24"/>
        </w:rPr>
        <w:t xml:space="preserve">.2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57" w:name="_Toc22267"/>
      <w:r>
        <w:rPr>
          <w:rFonts w:ascii="宋体" w:hAnsi="宋体"/>
          <w:b/>
          <w:sz w:val="24"/>
        </w:rPr>
        <w:t>2.</w:t>
      </w:r>
      <w:r>
        <w:rPr>
          <w:rFonts w:hint="eastAsia" w:ascii="宋体" w:hAnsi="宋体"/>
          <w:b/>
          <w:sz w:val="24"/>
        </w:rPr>
        <w:t>7</w:t>
      </w:r>
      <w:r>
        <w:rPr>
          <w:rFonts w:ascii="宋体" w:hAnsi="宋体"/>
          <w:b/>
          <w:sz w:val="24"/>
        </w:rPr>
        <w:t xml:space="preserve"> </w:t>
      </w:r>
      <w:r>
        <w:rPr>
          <w:rFonts w:hint="eastAsia" w:ascii="宋体" w:hAnsi="宋体"/>
          <w:b/>
          <w:sz w:val="24"/>
        </w:rPr>
        <w:t>延迟履行</w:t>
      </w:r>
      <w:bookmarkEnd w:id="457"/>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58" w:name="_Toc10611"/>
      <w:r>
        <w:rPr>
          <w:rFonts w:ascii="宋体" w:hAnsi="宋体"/>
          <w:b/>
          <w:sz w:val="24"/>
        </w:rPr>
        <w:t>2.</w:t>
      </w:r>
      <w:r>
        <w:rPr>
          <w:rFonts w:hint="eastAsia" w:ascii="宋体" w:hAnsi="宋体"/>
          <w:b/>
          <w:sz w:val="24"/>
        </w:rPr>
        <w:t>8</w:t>
      </w:r>
      <w:r>
        <w:rPr>
          <w:rFonts w:ascii="宋体" w:hAnsi="宋体"/>
          <w:b/>
          <w:sz w:val="24"/>
        </w:rPr>
        <w:t xml:space="preserve"> </w:t>
      </w:r>
      <w:r>
        <w:rPr>
          <w:rFonts w:hint="eastAsia" w:ascii="宋体" w:hAnsi="宋体"/>
          <w:b/>
          <w:sz w:val="24"/>
        </w:rPr>
        <w:t>合同变更</w:t>
      </w:r>
      <w:bookmarkEnd w:id="458"/>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59" w:name="_Toc42"/>
      <w:bookmarkStart w:id="460" w:name="_Toc21830"/>
      <w:bookmarkStart w:id="461" w:name="_Toc26689"/>
      <w:bookmarkStart w:id="462" w:name="_Toc23368"/>
      <w:bookmarkStart w:id="463" w:name="_Toc10663"/>
      <w:r>
        <w:rPr>
          <w:rFonts w:ascii="宋体" w:hAnsi="宋体"/>
          <w:b/>
          <w:sz w:val="24"/>
        </w:rPr>
        <w:t>2.</w:t>
      </w:r>
      <w:r>
        <w:rPr>
          <w:rFonts w:hint="eastAsia" w:ascii="宋体" w:hAnsi="宋体"/>
          <w:b/>
          <w:sz w:val="24"/>
        </w:rPr>
        <w:t>9</w:t>
      </w:r>
      <w:r>
        <w:rPr>
          <w:rFonts w:ascii="宋体" w:hAnsi="宋体"/>
          <w:b/>
          <w:sz w:val="24"/>
        </w:rPr>
        <w:t xml:space="preserve"> 合同转让和分包</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4" w:name="_Toc26633"/>
      <w:bookmarkStart w:id="465" w:name="_Toc25571"/>
      <w:bookmarkStart w:id="466" w:name="_Toc32494"/>
      <w:bookmarkStart w:id="467" w:name="_Toc14371"/>
      <w:bookmarkStart w:id="468" w:name="_Toc4720"/>
      <w:r>
        <w:rPr>
          <w:rFonts w:ascii="宋体" w:hAnsi="宋体"/>
          <w:b/>
          <w:sz w:val="24"/>
        </w:rPr>
        <w:t>2.1</w:t>
      </w:r>
      <w:r>
        <w:rPr>
          <w:rFonts w:hint="eastAsia" w:ascii="宋体" w:hAnsi="宋体"/>
          <w:b/>
          <w:sz w:val="24"/>
        </w:rPr>
        <w:t>0</w:t>
      </w:r>
      <w:r>
        <w:rPr>
          <w:rFonts w:ascii="宋体" w:hAnsi="宋体"/>
          <w:b/>
          <w:sz w:val="24"/>
        </w:rPr>
        <w:t xml:space="preserve"> 不可抗力</w:t>
      </w:r>
      <w:bookmarkEnd w:id="464"/>
      <w:bookmarkEnd w:id="465"/>
      <w:bookmarkEnd w:id="466"/>
      <w:bookmarkEnd w:id="467"/>
      <w:bookmarkEnd w:id="468"/>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 xml:space="preserve">.2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 xml:space="preserve">.3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0</w:t>
      </w:r>
      <w:r>
        <w:rPr>
          <w:rFonts w:ascii="宋体" w:hAnsi="宋体"/>
          <w:sz w:val="24"/>
        </w:rPr>
        <w:t>.4受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69" w:name="_Toc23854"/>
      <w:bookmarkStart w:id="470" w:name="_Toc24465"/>
      <w:bookmarkStart w:id="471" w:name="_Toc14115"/>
      <w:bookmarkStart w:id="472" w:name="_Toc25783"/>
      <w:bookmarkStart w:id="473" w:name="_Toc3638"/>
      <w:r>
        <w:rPr>
          <w:rFonts w:ascii="宋体" w:hAnsi="宋体"/>
          <w:b/>
          <w:sz w:val="24"/>
        </w:rPr>
        <w:t>2.1</w:t>
      </w:r>
      <w:r>
        <w:rPr>
          <w:rFonts w:hint="eastAsia" w:ascii="宋体" w:hAnsi="宋体"/>
          <w:b/>
          <w:sz w:val="24"/>
        </w:rPr>
        <w:t>1</w:t>
      </w:r>
      <w:r>
        <w:rPr>
          <w:rFonts w:ascii="宋体" w:hAnsi="宋体"/>
          <w:b/>
          <w:sz w:val="24"/>
        </w:rPr>
        <w:t xml:space="preserve"> 税费</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4" w:name="_Toc30105"/>
      <w:bookmarkStart w:id="475" w:name="_Toc26883"/>
      <w:bookmarkStart w:id="476" w:name="_Toc14814"/>
      <w:bookmarkStart w:id="477" w:name="_Toc7315"/>
      <w:bookmarkStart w:id="478" w:name="_Toc25525"/>
      <w:r>
        <w:rPr>
          <w:rFonts w:ascii="宋体" w:hAnsi="宋体"/>
          <w:b/>
          <w:sz w:val="24"/>
        </w:rPr>
        <w:t>2.1</w:t>
      </w:r>
      <w:r>
        <w:rPr>
          <w:rFonts w:hint="eastAsia" w:ascii="宋体" w:hAnsi="宋体"/>
          <w:b/>
          <w:sz w:val="24"/>
        </w:rPr>
        <w:t>2</w:t>
      </w:r>
      <w:r>
        <w:rPr>
          <w:rFonts w:ascii="宋体" w:hAnsi="宋体"/>
          <w:b/>
          <w:sz w:val="24"/>
        </w:rPr>
        <w:t xml:space="preserve"> 乙方破产</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79" w:name="_Toc1123"/>
      <w:bookmarkStart w:id="480" w:name="_Toc23323"/>
      <w:bookmarkStart w:id="481" w:name="_Toc2016"/>
      <w:r>
        <w:rPr>
          <w:rFonts w:ascii="宋体" w:hAnsi="宋体"/>
          <w:b/>
          <w:sz w:val="24"/>
        </w:rPr>
        <w:t>2.1</w:t>
      </w:r>
      <w:r>
        <w:rPr>
          <w:rFonts w:hint="eastAsia" w:ascii="宋体" w:hAnsi="宋体"/>
          <w:b/>
          <w:sz w:val="24"/>
        </w:rPr>
        <w:t>3</w:t>
      </w:r>
      <w:r>
        <w:rPr>
          <w:rFonts w:ascii="宋体" w:hAnsi="宋体"/>
          <w:b/>
          <w:sz w:val="24"/>
        </w:rPr>
        <w:t xml:space="preserve"> 合同中止、终止</w:t>
      </w:r>
      <w:bookmarkEnd w:id="479"/>
      <w:bookmarkEnd w:id="480"/>
      <w:bookmarkEnd w:id="481"/>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3</w:t>
      </w:r>
      <w:r>
        <w:rPr>
          <w:rFonts w:ascii="宋体" w:hAnsi="宋体"/>
          <w:sz w:val="24"/>
        </w:rPr>
        <w:t xml:space="preserve">.1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3</w:t>
      </w:r>
      <w:r>
        <w:rPr>
          <w:rFonts w:ascii="宋体" w:hAnsi="宋体"/>
          <w:sz w:val="24"/>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2" w:name="_Toc17363"/>
      <w:bookmarkStart w:id="483" w:name="_Toc1969"/>
      <w:bookmarkStart w:id="484" w:name="_Toc14525"/>
      <w:r>
        <w:rPr>
          <w:rFonts w:ascii="宋体" w:hAnsi="宋体"/>
          <w:b/>
          <w:sz w:val="24"/>
        </w:rPr>
        <w:t>2.1</w:t>
      </w:r>
      <w:r>
        <w:rPr>
          <w:rFonts w:hint="eastAsia" w:ascii="宋体" w:hAnsi="宋体"/>
          <w:b/>
          <w:sz w:val="24"/>
        </w:rPr>
        <w:t>4</w:t>
      </w:r>
      <w:r>
        <w:rPr>
          <w:rFonts w:ascii="宋体" w:hAnsi="宋体"/>
          <w:b/>
          <w:sz w:val="24"/>
        </w:rPr>
        <w:t xml:space="preserve"> 检验和验收</w:t>
      </w:r>
      <w:bookmarkEnd w:id="482"/>
      <w:bookmarkEnd w:id="483"/>
      <w:bookmarkEnd w:id="484"/>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2.1</w:t>
      </w:r>
      <w:r>
        <w:rPr>
          <w:rFonts w:hint="eastAsia" w:ascii="宋体" w:hAnsi="宋体"/>
          <w:sz w:val="24"/>
        </w:rPr>
        <w:t>4</w:t>
      </w:r>
      <w:r>
        <w:rPr>
          <w:rFonts w:ascii="宋体" w:hAnsi="宋体"/>
          <w:sz w:val="24"/>
        </w:rPr>
        <w:t xml:space="preserve">.3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5" w:name="_Toc9808"/>
      <w:bookmarkStart w:id="486" w:name="_Toc12666"/>
      <w:bookmarkStart w:id="487" w:name="_Toc2308"/>
      <w:bookmarkStart w:id="488" w:name="_Toc25198"/>
      <w:bookmarkStart w:id="489" w:name="_Toc31892"/>
      <w:r>
        <w:rPr>
          <w:rFonts w:ascii="宋体" w:hAnsi="宋体"/>
          <w:b/>
          <w:sz w:val="24"/>
        </w:rPr>
        <w:t>2.1</w:t>
      </w:r>
      <w:r>
        <w:rPr>
          <w:rFonts w:hint="eastAsia" w:ascii="宋体" w:hAnsi="宋体"/>
          <w:b/>
          <w:sz w:val="24"/>
        </w:rPr>
        <w:t>5</w:t>
      </w:r>
      <w:r>
        <w:rPr>
          <w:rFonts w:ascii="宋体" w:hAnsi="宋体"/>
          <w:b/>
          <w:sz w:val="24"/>
        </w:rPr>
        <w:t xml:space="preserve"> 通知和送达</w:t>
      </w:r>
      <w:bookmarkEnd w:id="485"/>
      <w:bookmarkEnd w:id="486"/>
      <w:bookmarkEnd w:id="487"/>
      <w:bookmarkEnd w:id="488"/>
      <w:bookmarkEnd w:id="489"/>
    </w:p>
    <w:p>
      <w:pPr>
        <w:spacing w:line="560" w:lineRule="exact"/>
        <w:ind w:firstLine="480" w:firstLineChars="200"/>
        <w:rPr>
          <w:rFonts w:ascii="宋体" w:hAnsi="宋体"/>
          <w:sz w:val="24"/>
        </w:rPr>
      </w:pPr>
      <w:bookmarkStart w:id="490" w:name="_Toc18401"/>
      <w:bookmarkStart w:id="491" w:name="_Toc27674"/>
      <w:r>
        <w:rPr>
          <w:rFonts w:ascii="宋体" w:hAnsi="宋体"/>
          <w:sz w:val="24"/>
        </w:rPr>
        <w:t>2.1</w:t>
      </w:r>
      <w:r>
        <w:rPr>
          <w:rFonts w:hint="eastAsia" w:ascii="宋体" w:hAnsi="宋体"/>
          <w:sz w:val="24"/>
        </w:rPr>
        <w:t>5</w:t>
      </w:r>
      <w:r>
        <w:rPr>
          <w:rFonts w:ascii="宋体" w:hAnsi="宋体"/>
          <w:sz w:val="24"/>
        </w:rPr>
        <w:t>.1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5</w:t>
      </w:r>
      <w:r>
        <w:rPr>
          <w:rFonts w:ascii="宋体" w:hAnsi="宋体"/>
          <w:sz w:val="24"/>
        </w:rPr>
        <w:t>.2以当面交付方式送达的，交付之时视为送达；以电子邮件方式送达的，发出电子邮件之时视为送达；以传真方式送达的，发出传真之时视为送达；以邮寄方式送达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0"/>
      <w:bookmarkEnd w:id="491"/>
    </w:p>
    <w:p>
      <w:pPr>
        <w:spacing w:line="560" w:lineRule="exact"/>
        <w:ind w:firstLine="482" w:firstLineChars="200"/>
        <w:outlineLvl w:val="0"/>
        <w:rPr>
          <w:rFonts w:ascii="宋体" w:hAnsi="宋体"/>
          <w:b/>
          <w:sz w:val="24"/>
        </w:rPr>
      </w:pPr>
      <w:bookmarkStart w:id="492" w:name="_Toc20808"/>
      <w:bookmarkStart w:id="493" w:name="_Toc12254"/>
      <w:bookmarkStart w:id="494" w:name="_Toc5063"/>
      <w:bookmarkStart w:id="495" w:name="_Toc27644"/>
      <w:bookmarkStart w:id="496" w:name="_Toc28906"/>
      <w:r>
        <w:rPr>
          <w:rFonts w:ascii="宋体" w:hAnsi="宋体"/>
          <w:b/>
          <w:sz w:val="24"/>
        </w:rPr>
        <w:t>2.1</w:t>
      </w:r>
      <w:r>
        <w:rPr>
          <w:rFonts w:hint="eastAsia" w:ascii="宋体" w:hAnsi="宋体"/>
          <w:b/>
          <w:sz w:val="24"/>
        </w:rPr>
        <w:t>6</w:t>
      </w:r>
      <w:r>
        <w:rPr>
          <w:rFonts w:ascii="宋体" w:hAnsi="宋体"/>
          <w:b/>
          <w:sz w:val="24"/>
        </w:rPr>
        <w:t xml:space="preserve"> </w:t>
      </w:r>
      <w:r>
        <w:rPr>
          <w:rFonts w:hint="eastAsia" w:ascii="宋体" w:hAnsi="宋体"/>
          <w:b/>
          <w:sz w:val="24"/>
        </w:rPr>
        <w:t>合同使用的文字和</w:t>
      </w:r>
      <w:r>
        <w:rPr>
          <w:rFonts w:ascii="宋体" w:hAnsi="宋体"/>
          <w:b/>
          <w:sz w:val="24"/>
        </w:rPr>
        <w:t>适用的法律</w:t>
      </w:r>
      <w:bookmarkEnd w:id="492"/>
      <w:bookmarkEnd w:id="493"/>
      <w:bookmarkEnd w:id="494"/>
      <w:bookmarkEnd w:id="495"/>
      <w:bookmarkEnd w:id="496"/>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6</w:t>
      </w:r>
      <w:r>
        <w:rPr>
          <w:rFonts w:ascii="宋体" w:hAnsi="宋体"/>
          <w:sz w:val="24"/>
        </w:rPr>
        <w:t>.1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6</w:t>
      </w:r>
      <w:r>
        <w:rPr>
          <w:rFonts w:ascii="宋体" w:hAnsi="宋体"/>
          <w:sz w:val="24"/>
        </w:rPr>
        <w:t xml:space="preserve">.2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497" w:name="_Toc30096"/>
      <w:bookmarkStart w:id="498" w:name="_Toc1492"/>
      <w:bookmarkStart w:id="499" w:name="_Toc27403"/>
      <w:bookmarkStart w:id="500" w:name="_Toc22266"/>
      <w:bookmarkStart w:id="501" w:name="_Toc27127"/>
      <w:r>
        <w:rPr>
          <w:rFonts w:ascii="宋体" w:hAnsi="宋体"/>
          <w:b/>
          <w:sz w:val="24"/>
        </w:rPr>
        <w:t>2.1</w:t>
      </w:r>
      <w:r>
        <w:rPr>
          <w:rFonts w:hint="eastAsia" w:ascii="宋体" w:hAnsi="宋体"/>
          <w:b/>
          <w:sz w:val="24"/>
        </w:rPr>
        <w:t>7</w:t>
      </w:r>
      <w:r>
        <w:rPr>
          <w:rFonts w:ascii="宋体" w:hAnsi="宋体"/>
          <w:b/>
          <w:sz w:val="24"/>
        </w:rPr>
        <w:t xml:space="preserve"> 履约保证金</w:t>
      </w:r>
      <w:bookmarkEnd w:id="497"/>
      <w:bookmarkEnd w:id="498"/>
      <w:bookmarkEnd w:id="499"/>
      <w:bookmarkEnd w:id="500"/>
      <w:bookmarkEnd w:id="501"/>
    </w:p>
    <w:p>
      <w:pPr>
        <w:pStyle w:val="616"/>
        <w:spacing w:before="0" w:beforeAutospacing="0" w:after="0" w:afterAutospacing="0" w:line="360" w:lineRule="auto"/>
        <w:ind w:firstLine="420"/>
      </w:pPr>
      <w:r>
        <w:t>2.1</w:t>
      </w:r>
      <w:r>
        <w:rPr>
          <w:rFonts w:hint="eastAsia"/>
        </w:rPr>
        <w:t>7</w:t>
      </w:r>
      <w:r>
        <w:t xml:space="preserve">.1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 xml:space="preserve">.2  </w:t>
      </w:r>
      <w:r>
        <w:rPr>
          <w:rFonts w:hint="eastAsia" w:ascii="宋体" w:hAnsi="宋体"/>
          <w:sz w:val="24"/>
        </w:rPr>
        <w:t>甲方在项目验收结束后及时退还履约保证金。甲方在项目通过验收之日起</w:t>
      </w:r>
      <w:r>
        <w:rPr>
          <w:rFonts w:ascii="宋体" w:hAnsi="宋体"/>
          <w:sz w:val="24"/>
          <w:u w:val="single"/>
        </w:rPr>
        <w:t xml:space="preserve"> 5 </w:t>
      </w:r>
      <w:r>
        <w:rPr>
          <w:rFonts w:hint="eastAsia" w:ascii="宋体" w:hAnsi="宋体"/>
          <w:sz w:val="24"/>
        </w:rPr>
        <w:t>个工作日内，按</w:t>
      </w:r>
      <w:r>
        <w:rPr>
          <w:rFonts w:hint="eastAsia" w:ascii="宋体" w:hAnsi="宋体"/>
          <w:b/>
          <w:i/>
          <w:sz w:val="24"/>
          <w:u w:val="single"/>
        </w:rPr>
        <w:t>合同专用条款</w:t>
      </w:r>
      <w:r>
        <w:rPr>
          <w:rFonts w:hint="eastAsia" w:ascii="宋体" w:hAnsi="宋体"/>
          <w:sz w:val="24"/>
        </w:rPr>
        <w:t>约定的方式将履约保证金退还乙方，逾期退还的，乙方可要求甲方支付违约金，违约金按每迟延退还一日的应退还而未退还金额的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 xml:space="preserve">.3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7</w:t>
      </w:r>
      <w:r>
        <w:rPr>
          <w:rFonts w:ascii="宋体" w:hAnsi="宋体"/>
          <w:sz w:val="24"/>
        </w:rPr>
        <w:t>.4</w:t>
      </w:r>
      <w:r>
        <w:rPr>
          <w:rFonts w:hint="eastAsia" w:ascii="宋体" w:hAnsi="宋体"/>
          <w:sz w:val="24"/>
        </w:rPr>
        <w:t> 甲方根据杭州市政府采购网公布的供应商履约评价情况减免履约保证金。乙方履约验收评价总分为</w:t>
      </w:r>
      <w:r>
        <w:rPr>
          <w:rFonts w:ascii="宋体" w:hAnsi="宋体"/>
          <w:sz w:val="24"/>
        </w:rPr>
        <w:t>100分的，甲方免收履约保证金。</w:t>
      </w:r>
    </w:p>
    <w:p>
      <w:pPr>
        <w:spacing w:line="560" w:lineRule="exact"/>
        <w:ind w:firstLine="480" w:firstLineChars="200"/>
        <w:rPr>
          <w:rFonts w:ascii="宋体" w:hAnsi="宋体"/>
        </w:rPr>
      </w:pPr>
      <w:r>
        <w:rPr>
          <w:rFonts w:ascii="宋体" w:hAnsi="宋体"/>
          <w:sz w:val="24"/>
        </w:rPr>
        <w:t>2.1</w:t>
      </w:r>
      <w:r>
        <w:rPr>
          <w:rFonts w:hint="eastAsia" w:ascii="宋体" w:hAnsi="宋体"/>
          <w:sz w:val="24"/>
        </w:rPr>
        <w:t>7</w:t>
      </w:r>
      <w:r>
        <w:rPr>
          <w:rFonts w:ascii="宋体" w:hAnsi="宋体"/>
          <w:sz w:val="24"/>
        </w:rPr>
        <w:t>.5</w:t>
      </w:r>
      <w:r>
        <w:rPr>
          <w:rFonts w:hint="eastAsia" w:ascii="宋体" w:hAnsi="宋体"/>
          <w:sz w:val="24"/>
        </w:rPr>
        <w:t>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w:t>
      </w:r>
      <w:r>
        <w:rPr>
          <w:rFonts w:hint="eastAsia" w:ascii="宋体" w:hAnsi="宋体"/>
          <w:b/>
          <w:bCs/>
          <w:sz w:val="24"/>
        </w:rPr>
        <w:t>8</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pStyle w:val="384"/>
        <w:spacing w:line="560" w:lineRule="exact"/>
        <w:jc w:val="center"/>
        <w:rPr>
          <w:rFonts w:ascii="宋体" w:hAnsi="宋体" w:cs="宋体"/>
          <w:b/>
          <w:szCs w:val="24"/>
        </w:rPr>
      </w:pPr>
      <w:r>
        <w:rPr>
          <w:rFonts w:hint="eastAsia" w:ascii="宋体" w:hAnsi="宋体" w:cs="宋体"/>
          <w:kern w:val="0"/>
          <w:szCs w:val="24"/>
        </w:rPr>
        <w:br w:type="page"/>
      </w:r>
      <w:bookmarkStart w:id="502" w:name="_Toc331685784"/>
      <w:r>
        <w:rPr>
          <w:rFonts w:hint="eastAsia" w:ascii="宋体" w:hAnsi="宋体" w:cs="宋体"/>
          <w:b/>
          <w:szCs w:val="24"/>
        </w:rPr>
        <w:t xml:space="preserve"> </w:t>
      </w:r>
      <w:bookmarkEnd w:id="502"/>
      <w:r>
        <w:rPr>
          <w:rFonts w:hint="eastAsia" w:ascii="宋体" w:hAnsi="宋体" w:cs="宋体"/>
          <w:b/>
          <w:szCs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宋体" w:hAnsi="宋体" w:cs="宋体"/>
                <w:sz w:val="24"/>
              </w:rPr>
            </w:pPr>
            <w:r>
              <w:rPr>
                <w:rFonts w:hint="eastAsia" w:ascii="宋体" w:hAnsi="宋体" w:cs="宋体"/>
                <w:sz w:val="24"/>
              </w:rPr>
              <w:t>1.付款方式：签订合同后采购人在7个工作日内支付总合同的40%的预付款。半年后支付合同金额的30%的费用，服务期满9个月经验收通过后10个工作日内支付剩余费用。履约保证金在到期后扣除违约部分后无息退还，如未发生违约情况则全额退还。</w:t>
            </w:r>
          </w:p>
          <w:p>
            <w:pPr>
              <w:spacing w:line="360" w:lineRule="auto"/>
              <w:rPr>
                <w:rFonts w:ascii="宋体" w:hAnsi="宋体" w:cs="宋体"/>
                <w:sz w:val="24"/>
              </w:rPr>
            </w:pPr>
            <w:r>
              <w:rPr>
                <w:rFonts w:hint="eastAsia" w:ascii="宋体" w:hAnsi="宋体" w:cs="宋体"/>
                <w:sz w:val="24"/>
              </w:rPr>
              <w:t>2.甲方每次付款前，乙方需向甲方提供与甲方所付金额相等的正规发票。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spacing w:line="360" w:lineRule="auto"/>
              <w:rPr>
                <w:rFonts w:ascii="宋体" w:hAnsi="宋体" w:cs="宋体"/>
                <w:sz w:val="24"/>
              </w:rPr>
            </w:pPr>
            <w:r>
              <w:rPr>
                <w:rFonts w:hint="eastAsia" w:ascii="宋体" w:hAnsi="宋体" w:cs="宋体"/>
                <w:sz w:val="24"/>
              </w:rPr>
              <w:t>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spacing w:line="360" w:lineRule="auto"/>
              <w:rPr>
                <w:rFonts w:ascii="宋体" w:hAnsi="宋体" w:cs="宋体"/>
                <w:sz w:val="24"/>
              </w:rPr>
            </w:pPr>
            <w:r>
              <w:rPr>
                <w:rFonts w:hint="eastAsia" w:ascii="宋体" w:hAnsi="宋体" w:cs="宋体"/>
                <w:sz w:val="24"/>
              </w:rPr>
              <w:t>余杭区闲林街道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spacing w:line="360" w:lineRule="auto"/>
              <w:rPr>
                <w:rFonts w:ascii="宋体" w:hAnsi="宋体" w:cs="宋体"/>
                <w:sz w:val="24"/>
              </w:rPr>
            </w:pPr>
            <w:r>
              <w:rPr>
                <w:rFonts w:hint="eastAsia" w:ascii="宋体" w:hAnsi="宋体" w:cs="宋体"/>
                <w:sz w:val="24"/>
              </w:rPr>
              <w:t>在合同签订后 7个日历天内交付所有车辆，喷涂、车贴在合同签订后30日历天内逐步完成。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60" w:lineRule="auto"/>
              <w:rPr>
                <w:rFonts w:ascii="宋体" w:hAnsi="宋体" w:cs="宋体"/>
                <w:sz w:val="24"/>
              </w:rPr>
            </w:pPr>
            <w:r>
              <w:rPr>
                <w:rFonts w:hint="eastAsia" w:ascii="宋体" w:hAnsi="宋体" w:cs="宋体"/>
                <w:sz w:val="24"/>
              </w:rPr>
              <w:t>成交供应商</w:t>
            </w:r>
            <w:r>
              <w:rPr>
                <w:rFonts w:ascii="宋体" w:hAnsi="宋体" w:cs="宋体"/>
                <w:sz w:val="24"/>
              </w:rPr>
              <w:t>擅自分包超过投标时的约定</w:t>
            </w:r>
            <w:r>
              <w:rPr>
                <w:rFonts w:hint="eastAsia" w:ascii="宋体" w:hAnsi="宋体" w:cs="宋体"/>
                <w:sz w:val="24"/>
              </w:rPr>
              <w:t>的量、转包及违反法律法规的其他情形，若经采购人发现，采购人有权终止合同，由此产生的一切经济、法律责任均由成交供应商承担。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560" w:lineRule="exact"/>
              <w:ind w:left="-61" w:leftChars="-29" w:right="-420" w:rightChars="-200"/>
              <w:rPr>
                <w:rFonts w:ascii="宋体" w:hAnsi="宋体" w:cs="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w:t>
            </w:r>
            <w:r>
              <w:rPr>
                <w:rFonts w:hint="eastAsia" w:ascii="宋体" w:hAnsi="宋体"/>
                <w:b/>
                <w:i/>
                <w:sz w:val="24"/>
                <w:u w:val="single"/>
              </w:rPr>
              <w:t>1.7.2</w:t>
            </w:r>
            <w:r>
              <w:rPr>
                <w:rFonts w:ascii="宋体" w:hAnsi="宋体"/>
                <w:b/>
                <w:i/>
                <w:sz w:val="24"/>
                <w:u w:val="single"/>
              </w:rPr>
              <w:t xml:space="preserve">  </w:t>
            </w:r>
            <w:r>
              <w:rPr>
                <w:rFonts w:hint="eastAsia" w:ascii="宋体" w:hAnsi="宋体"/>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r>
              <w:rPr>
                <w:rFonts w:hint="eastAsia" w:ascii="宋体" w:hAnsi="宋体"/>
                <w:sz w:val="24"/>
              </w:rPr>
              <w:t>向</w:t>
            </w:r>
            <w:r>
              <w:rPr>
                <w:rFonts w:hint="eastAsia" w:ascii="宋体" w:hAnsi="宋体"/>
                <w:b/>
                <w:i/>
                <w:sz w:val="24"/>
                <w:u w:val="single"/>
              </w:rPr>
              <w:t>余杭区</w:t>
            </w:r>
            <w:r>
              <w:rPr>
                <w:rFonts w:hint="eastAsia" w:ascii="宋体" w:hAnsi="宋体"/>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60" w:lineRule="auto"/>
              <w:ind w:left="-420" w:leftChars="-200" w:right="-420" w:rightChars="-200" w:firstLine="480" w:firstLineChars="200"/>
              <w:rPr>
                <w:rFonts w:ascii="宋体" w:hAnsi="宋体" w:cs="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275" w:type="dxa"/>
            <w:vAlign w:val="center"/>
          </w:tcPr>
          <w:p>
            <w:pPr>
              <w:spacing w:line="560" w:lineRule="exact"/>
              <w:rPr>
                <w:rFonts w:ascii="宋体" w:hAnsi="宋体"/>
                <w:sz w:val="24"/>
              </w:rPr>
            </w:pPr>
            <w:r>
              <w:rPr>
                <w:rFonts w:ascii="宋体" w:hAnsi="宋体"/>
                <w:sz w:val="24"/>
              </w:rPr>
              <w:t>2.</w:t>
            </w:r>
            <w:r>
              <w:rPr>
                <w:rFonts w:hint="eastAsia" w:ascii="宋体" w:hAnsi="宋体"/>
                <w:sz w:val="24"/>
              </w:rPr>
              <w:t>5</w:t>
            </w:r>
            <w:r>
              <w:rPr>
                <w:rFonts w:ascii="宋体" w:hAnsi="宋体"/>
                <w:sz w:val="24"/>
              </w:rPr>
              <w:t>.1 乙方有权依据合同约定和项目需要，向甲方了解有关情况，调阅有关资料等，甲方应予积极配合；</w:t>
            </w:r>
          </w:p>
          <w:p>
            <w:pPr>
              <w:spacing w:line="560" w:lineRule="exact"/>
              <w:rPr>
                <w:rFonts w:ascii="宋体" w:hAnsi="宋体"/>
                <w:sz w:val="24"/>
              </w:rPr>
            </w:pPr>
            <w:r>
              <w:rPr>
                <w:rFonts w:ascii="宋体" w:hAnsi="宋体"/>
                <w:sz w:val="24"/>
              </w:rPr>
              <w:t>2.</w:t>
            </w:r>
            <w:r>
              <w:rPr>
                <w:rFonts w:hint="eastAsia" w:ascii="宋体" w:hAnsi="宋体"/>
                <w:sz w:val="24"/>
              </w:rPr>
              <w:t>5</w:t>
            </w:r>
            <w:r>
              <w:rPr>
                <w:rFonts w:ascii="宋体" w:hAnsi="宋体"/>
                <w:sz w:val="24"/>
              </w:rPr>
              <w:t xml:space="preserve">.2 </w:t>
            </w:r>
            <w:r>
              <w:rPr>
                <w:rFonts w:hint="eastAsia" w:ascii="宋体" w:hAnsi="宋体"/>
                <w:sz w:val="24"/>
              </w:rPr>
              <w:t>乙方有义务妥善保管和保护由甲方提供的前款信息和资料等；</w:t>
            </w:r>
          </w:p>
          <w:p>
            <w:pPr>
              <w:spacing w:line="560" w:lineRule="exact"/>
              <w:rPr>
                <w:rFonts w:ascii="宋体" w:hAnsi="宋体" w:cs="宋体"/>
                <w:b/>
                <w:bCs/>
                <w:sz w:val="24"/>
              </w:rPr>
            </w:pPr>
            <w:r>
              <w:rPr>
                <w:rFonts w:ascii="宋体" w:hAnsi="宋体"/>
                <w:sz w:val="24"/>
              </w:rPr>
              <w:t>2.</w:t>
            </w:r>
            <w:r>
              <w:rPr>
                <w:rFonts w:hint="eastAsia" w:ascii="宋体" w:hAnsi="宋体"/>
                <w:sz w:val="24"/>
              </w:rPr>
              <w:t>5</w:t>
            </w:r>
            <w:r>
              <w:rPr>
                <w:rFonts w:ascii="宋体" w:hAnsi="宋体"/>
                <w:sz w:val="24"/>
              </w:rPr>
              <w:t xml:space="preserve">.3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0.</w:t>
            </w:r>
            <w:r>
              <w:rPr>
                <w:rFonts w:ascii="宋体" w:hAnsi="宋体" w:cs="宋体"/>
                <w:sz w:val="24"/>
              </w:rPr>
              <w:t>3</w:t>
            </w:r>
          </w:p>
        </w:tc>
        <w:tc>
          <w:tcPr>
            <w:tcW w:w="8275" w:type="dxa"/>
            <w:vAlign w:val="center"/>
          </w:tcPr>
          <w:p>
            <w:pPr>
              <w:spacing w:line="360" w:lineRule="auto"/>
              <w:rPr>
                <w:rFonts w:ascii="宋体" w:hAnsi="宋体" w:cs="宋体"/>
                <w:sz w:val="24"/>
              </w:rPr>
            </w:pPr>
            <w:r>
              <w:rPr>
                <w:rFonts w:hint="eastAsia" w:ascii="宋体" w:hAnsi="宋体"/>
                <w:sz w:val="24"/>
              </w:rPr>
              <w:t>因</w:t>
            </w:r>
            <w:r>
              <w:rPr>
                <w:rFonts w:ascii="宋体" w:hAnsi="宋体"/>
                <w:sz w:val="24"/>
              </w:rPr>
              <w:t>不可抗力致使合同有变更必要的，双方当事人应在</w:t>
            </w:r>
            <w:r>
              <w:rPr>
                <w:rFonts w:hint="eastAsia" w:ascii="宋体" w:hAnsi="宋体"/>
                <w:b/>
                <w:i/>
                <w:sz w:val="24"/>
                <w:u w:val="single"/>
              </w:rPr>
              <w:t>3日</w:t>
            </w:r>
            <w:r>
              <w:rPr>
                <w:rFonts w:ascii="宋体" w:hAnsi="宋体"/>
                <w:sz w:val="24"/>
              </w:rPr>
              <w:t>内以书面形式变更合同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0</w:t>
            </w:r>
            <w:r>
              <w:rPr>
                <w:rFonts w:ascii="宋体" w:hAnsi="宋体" w:cs="宋体"/>
                <w:sz w:val="24"/>
              </w:rPr>
              <w:t>.4</w:t>
            </w:r>
            <w:r>
              <w:rPr>
                <w:rFonts w:hint="eastAsia" w:ascii="宋体" w:hAnsi="宋体" w:cs="宋体"/>
                <w:sz w:val="24"/>
              </w:rPr>
              <w:t xml:space="preserve"> </w:t>
            </w:r>
          </w:p>
        </w:tc>
        <w:tc>
          <w:tcPr>
            <w:tcW w:w="8275" w:type="dxa"/>
          </w:tcPr>
          <w:p>
            <w:pPr>
              <w:spacing w:line="560" w:lineRule="exact"/>
              <w:rPr>
                <w:rFonts w:ascii="宋体" w:hAnsi="宋体"/>
                <w:sz w:val="24"/>
              </w:rPr>
            </w:pP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b/>
                <w:i/>
                <w:sz w:val="24"/>
                <w:u w:val="single"/>
              </w:rPr>
              <w:t>3日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b/>
                <w:i/>
                <w:sz w:val="24"/>
                <w:u w:val="single"/>
              </w:rPr>
              <w:t>3日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4.</w:t>
            </w:r>
            <w:r>
              <w:rPr>
                <w:rFonts w:ascii="宋体" w:hAnsi="宋体" w:cs="宋体"/>
                <w:sz w:val="24"/>
              </w:rPr>
              <w:t>1</w:t>
            </w:r>
          </w:p>
        </w:tc>
        <w:tc>
          <w:tcPr>
            <w:tcW w:w="8275" w:type="dxa"/>
            <w:vAlign w:val="center"/>
          </w:tcPr>
          <w:p>
            <w:pPr>
              <w:spacing w:line="360" w:lineRule="auto"/>
              <w:rPr>
                <w:rFonts w:ascii="宋体" w:hAnsi="宋体" w:cs="宋体"/>
                <w:sz w:val="24"/>
              </w:rPr>
            </w:pPr>
            <w:r>
              <w:rPr>
                <w:rFonts w:hint="eastAsia" w:ascii="宋体" w:hAnsi="宋体"/>
                <w:sz w:val="24"/>
              </w:rPr>
              <w:t>乙方应在合同签订后 3 个日历天内交付所有车辆，喷涂、车贴在合同签订后30日历天内逐步完成。合同签订30日历天后甲方将结合第三方进行</w:t>
            </w:r>
            <w:r>
              <w:rPr>
                <w:rFonts w:ascii="宋体" w:hAnsi="宋体"/>
                <w:sz w:val="24"/>
              </w:rPr>
              <w:t>验收</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rPr>
              <w:t>4.</w:t>
            </w:r>
            <w:r>
              <w:rPr>
                <w:rFonts w:ascii="宋体" w:hAnsi="宋体" w:cs="宋体"/>
                <w:sz w:val="24"/>
              </w:rPr>
              <w:t>3</w:t>
            </w:r>
          </w:p>
        </w:tc>
        <w:tc>
          <w:tcPr>
            <w:tcW w:w="8275" w:type="dxa"/>
            <w:vAlign w:val="center"/>
          </w:tcPr>
          <w:p>
            <w:pPr>
              <w:spacing w:line="360" w:lineRule="auto"/>
              <w:rPr>
                <w:rFonts w:ascii="宋体" w:hAnsi="宋体" w:cs="宋体"/>
                <w:sz w:val="24"/>
              </w:rPr>
            </w:pPr>
            <w:r>
              <w:rPr>
                <w:rFonts w:hint="eastAsia" w:ascii="宋体" w:hAnsi="宋体" w:cs="宋体"/>
                <w:sz w:val="24"/>
              </w:rPr>
              <w:t>按照采购需要进行验收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2.17.1</w:t>
            </w:r>
          </w:p>
        </w:tc>
        <w:tc>
          <w:tcPr>
            <w:tcW w:w="8275" w:type="dxa"/>
            <w:vAlign w:val="center"/>
          </w:tcPr>
          <w:p>
            <w:pPr>
              <w:pStyle w:val="616"/>
              <w:spacing w:before="0" w:beforeAutospacing="0" w:after="0" w:afterAutospacing="0" w:line="360" w:lineRule="auto"/>
            </w:pPr>
            <w:r>
              <w:rPr>
                <w:rFonts w:hint="eastAsia"/>
              </w:rPr>
              <w:t>采购文件要求乙方提交履约保证金的，履约保证金为合同价的1%，以支票、汇票、本票或者金融机构、担保机构出具的保函等非现金形式，提交不超过合同金额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2.17.</w:t>
            </w:r>
            <w:r>
              <w:rPr>
                <w:rFonts w:ascii="宋体" w:hAnsi="宋体" w:cs="宋体"/>
                <w:sz w:val="24"/>
              </w:rPr>
              <w:t>2</w:t>
            </w:r>
          </w:p>
        </w:tc>
        <w:tc>
          <w:tcPr>
            <w:tcW w:w="8275" w:type="dxa"/>
            <w:vAlign w:val="center"/>
          </w:tcPr>
          <w:p>
            <w:pPr>
              <w:spacing w:line="360" w:lineRule="auto"/>
              <w:rPr>
                <w:rFonts w:ascii="宋体" w:hAnsi="宋体" w:cs="宋体"/>
                <w:sz w:val="24"/>
              </w:rPr>
            </w:pPr>
            <w:r>
              <w:rPr>
                <w:rFonts w:hint="eastAsia" w:ascii="宋体" w:hAnsi="宋体"/>
                <w:sz w:val="24"/>
              </w:rPr>
              <w:t>甲方</w:t>
            </w:r>
            <w:r>
              <w:rPr>
                <w:rFonts w:hint="eastAsia" w:ascii="宋体" w:hAnsi="宋体" w:cs="宋体"/>
                <w:sz w:val="24"/>
              </w:rPr>
              <w:t>在服务期满后或提前终止承包后</w:t>
            </w:r>
            <w:r>
              <w:rPr>
                <w:rFonts w:hint="eastAsia" w:ascii="宋体" w:hAnsi="宋体"/>
                <w:sz w:val="24"/>
              </w:rPr>
              <w:t>及时退还履约保证金。甲方在合同终止之日起</w:t>
            </w:r>
            <w:r>
              <w:rPr>
                <w:rFonts w:ascii="宋体" w:hAnsi="宋体"/>
                <w:sz w:val="24"/>
                <w:u w:val="single"/>
              </w:rPr>
              <w:t xml:space="preserve"> 5 </w:t>
            </w:r>
            <w:r>
              <w:rPr>
                <w:rFonts w:hint="eastAsia" w:ascii="宋体" w:hAnsi="宋体"/>
                <w:sz w:val="24"/>
              </w:rPr>
              <w:t>个工作日内，将履约保证金退还乙方，逾期退还的，乙方可要求甲方支付违约金，违约金按每迟延退还一日的应退还而未退还金额的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275" w:type="dxa"/>
          </w:tcPr>
          <w:p>
            <w:pPr>
              <w:spacing w:line="560" w:lineRule="exact"/>
              <w:rPr>
                <w:rFonts w:ascii="宋体" w:hAnsi="宋体"/>
                <w:sz w:val="24"/>
              </w:rPr>
            </w:pPr>
            <w:r>
              <w:rPr>
                <w:rFonts w:ascii="宋体" w:hAnsi="宋体"/>
                <w:sz w:val="24"/>
              </w:rPr>
              <w:t>合同份数</w:t>
            </w:r>
            <w:r>
              <w:rPr>
                <w:rFonts w:hint="eastAsia" w:ascii="宋体" w:hAnsi="宋体"/>
                <w:sz w:val="24"/>
              </w:rPr>
              <w:t>为一式捌份，</w:t>
            </w:r>
            <w:r>
              <w:rPr>
                <w:rFonts w:ascii="宋体" w:hAnsi="宋体"/>
                <w:sz w:val="24"/>
              </w:rPr>
              <w:t>每份均具有同等法律效力</w:t>
            </w:r>
            <w:r>
              <w:rPr>
                <w:rFonts w:hint="eastAsia" w:ascii="宋体" w:hAnsi="宋体"/>
                <w:sz w:val="24"/>
              </w:rPr>
              <w:t>。</w:t>
            </w:r>
          </w:p>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left"/>
        <w:rPr>
          <w:rFonts w:ascii="宋体" w:hAnsi="宋体" w:cs="宋体"/>
          <w:sz w:val="24"/>
        </w:rPr>
      </w:pPr>
      <w:r>
        <w:rPr>
          <w:rFonts w:ascii="宋体" w:hAnsi="宋体" w:cs="宋体"/>
          <w:sz w:val="24"/>
        </w:rPr>
        <w:br w:type="page"/>
      </w: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杭州市余杭区人民政府闲林街道办事处、杭州市公共资源交易中心余杭分中心：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我方参与闲林街道办事处电动汽车租赁服务项目【招标编号：HZYHZFCG-2022-048】政府采购活动，郑重承诺：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rPr>
          <w:b w:val="0"/>
        </w:rPr>
      </w:pPr>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杭州市余杭区人民政府闲林街道办事处、杭州市公共资源交易中心余杭分中心：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我方参加你方组织的闲林街道办事处电动汽车租赁服务项目【招标编号：HZYHZFCG-2022-048】招标的有关活动，并对此项目进行投标。为此：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3" w:name="_Hlk101257010"/>
      <w:r>
        <w:rPr>
          <w:rFonts w:hint="eastAsia" w:ascii="宋体" w:hAnsi="宋体" w:cs="宋体"/>
          <w:snapToGrid w:val="0"/>
          <w:kern w:val="28"/>
          <w:sz w:val="24"/>
          <w:szCs w:val="20"/>
        </w:rPr>
        <w:t>（如果有)</w:t>
      </w:r>
      <w:bookmarkEnd w:id="503"/>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杭州市余杭区人民政府闲林街道办事处、杭州市公共资源交易中心余杭分中心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闲林街道办事处电动汽车租赁服务项目【招标编号：HZYHZFCG-2022-048】</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杭州市余杭区人民政府闲林街道办事处、杭州市公共资源交易中心余杭分中心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闲林街道办事处电动汽车租赁服务项目【招标编号：HZYHZFCG-2022-048】</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tcPr>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见投标文件</w:t>
            </w:r>
          </w:p>
          <w:p>
            <w:pPr>
              <w:pStyle w:val="2"/>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r>
        <w:rPr>
          <w:rFonts w:hint="eastAsia"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杭州市余杭区人民政府闲林街道办事处、杭州市公共资源交易中心余杭分中心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杭州市余杭区人民政府闲林街道办事处、杭州市公共资源交易中心余杭分中心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闲林街道办事处电动汽车租赁服务项目</w:t>
      </w:r>
      <w:r>
        <w:rPr>
          <w:rFonts w:hint="eastAsia" w:ascii="宋体" w:hAnsi="宋体" w:cs="宋体"/>
          <w:kern w:val="0"/>
          <w:sz w:val="24"/>
          <w:lang w:val="zh-CN"/>
        </w:rPr>
        <w:t>【招标编号：</w:t>
      </w:r>
      <w:r>
        <w:rPr>
          <w:rFonts w:hint="eastAsia" w:ascii="宋体" w:hAnsi="宋体" w:cs="宋体"/>
          <w:sz w:val="24"/>
        </w:rPr>
        <w:t>HZYHZFCG-2022-048】的实施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spacing w:line="360" w:lineRule="auto"/>
        <w:ind w:firstLine="482" w:firstLineChars="200"/>
        <w:rPr>
          <w:rFonts w:ascii="宋体" w:hAnsi="宋体" w:cs="宋体"/>
          <w:b/>
          <w:kern w:val="0"/>
          <w:sz w:val="24"/>
        </w:rPr>
      </w:pPr>
    </w:p>
    <w:p>
      <w:pPr>
        <w:pStyle w:val="375"/>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sz w:val="32"/>
          <w:szCs w:val="32"/>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br w:type="page"/>
      </w: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2"/>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2"/>
        <w:ind w:left="0"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pageBreakBefore/>
        <w:widowControl/>
        <w:spacing w:before="100" w:beforeAutospacing="1" w:after="100" w:afterAutospacing="1" w:line="360" w:lineRule="auto"/>
        <w:ind w:left="1290" w:firstLine="3092" w:firstLineChars="700"/>
        <w:rPr>
          <w:rFonts w:ascii="宋体" w:hAnsi="宋体" w:cs="宋体"/>
        </w:rPr>
      </w:pPr>
      <w:bookmarkStart w:id="504" w:name="_Toc465665161"/>
      <w:r>
        <w:rPr>
          <w:rFonts w:hint="eastAsia" w:ascii="宋体" w:hAnsi="宋体" w:cs="宋体"/>
        </w:rPr>
        <w:t>附件</w:t>
      </w:r>
      <w:bookmarkEnd w:id="504"/>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5" w:name="OLE_LINK13"/>
      <w:bookmarkStart w:id="506" w:name="OLE_LINK14"/>
      <w:r>
        <w:rPr>
          <w:rFonts w:hint="eastAsia" w:ascii="宋体" w:hAnsi="宋体" w:cs="宋体"/>
          <w:b/>
          <w:spacing w:val="6"/>
          <w:sz w:val="32"/>
          <w:szCs w:val="32"/>
        </w:rPr>
        <w:t>残疾人福利性单位声明函</w:t>
      </w:r>
    </w:p>
    <w:bookmarkEnd w:id="505"/>
    <w:bookmarkEnd w:id="506"/>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pPr>
      <w:r>
        <w:rPr>
          <w:rFonts w:hint="eastAsia" w:ascii="宋体" w:hAnsi="宋体" w:cs="宋体"/>
          <w:sz w:val="24"/>
        </w:rPr>
        <w:t>杭州市余杭区人民政府闲林街道办事处、杭州市公共资源交易中心余杭分中心：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你方组织的闲林街道办事处电动汽车租赁服务项目项目【招标编号：HZYHZFCG-2022-048】</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闲林街道办事处电动汽车租赁服务项目【招标编号：HZYHZFCG-2022-048】</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7"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7"/>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08"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508"/>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09"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09"/>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闲林街道办事处电动汽车租赁服务项目【招标编号：HZYHZFCG-2022-048】</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ascii="宋体" w:hAnsi="宋体" w:cs="宋体"/>
          <w:b/>
          <w:kern w:val="0"/>
          <w:sz w:val="24"/>
          <w:lang w:val="zh-CN"/>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7</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杭州市余杭区人民政府闲林街道办事处 </w:t>
      </w:r>
      <w:r>
        <w:rPr>
          <w:rFonts w:hint="eastAsia" w:ascii="宋体" w:hAnsi="宋体" w:cs="宋体"/>
          <w:sz w:val="24"/>
        </w:rPr>
        <w:t>的</w:t>
      </w:r>
      <w:r>
        <w:rPr>
          <w:rFonts w:hint="eastAsia" w:ascii="宋体" w:hAnsi="宋体" w:cs="宋体"/>
          <w:sz w:val="24"/>
          <w:u w:val="single"/>
        </w:rPr>
        <w:t xml:space="preserve"> 闲林街道办事处电动汽车租赁服务项目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汽车租赁服务</w:t>
      </w:r>
      <w:r>
        <w:rPr>
          <w:rFonts w:hint="eastAsia" w:ascii="宋体" w:hAnsi="宋体" w:cs="宋体"/>
          <w:sz w:val="24"/>
        </w:rPr>
        <w:t xml:space="preserve">，属于 </w:t>
      </w:r>
      <w:r>
        <w:rPr>
          <w:rFonts w:hint="eastAsia" w:ascii="宋体" w:hAnsi="宋体" w:cs="宋体"/>
          <w:sz w:val="24"/>
          <w:u w:val="single"/>
        </w:rPr>
        <w:t>租赁和商务服务业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；汽车租赁服务，属于租赁和商务服务业</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ource Sans Pro Light"/>
    <w:panose1 w:val="02000400000000000000"/>
    <w:charset w:val="01"/>
    <w:family w:val="roman"/>
    <w:pitch w:val="default"/>
    <w:sig w:usb0="00000000" w:usb1="00000000" w:usb2="00000000" w:usb3="00000000" w:csb0="00000000" w:csb1="00000000"/>
  </w:font>
  <w:font w:name="Source Sans Pro Light">
    <w:panose1 w:val="020B0403030403020204"/>
    <w:charset w:val="00"/>
    <w:family w:val="auto"/>
    <w:pitch w:val="default"/>
    <w:sig w:usb0="600002F7" w:usb1="02000001" w:usb2="00000000" w:usb3="00000000" w:csb0="200001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Aldine401 BT">
    <w:altName w:val="Arial"/>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0002009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separate"/>
    </w:r>
    <w:r>
      <w:rPr>
        <w:rStyle w:val="72"/>
      </w:rPr>
      <w:t>39</w: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bookmarkStart w:id="510" w:name="_Toc91899912"/>
    <w:bookmarkStart w:id="511" w:name="_Toc164085800"/>
    <w:bookmarkStart w:id="512" w:name="_Toc36110187"/>
    <w:bookmarkStart w:id="513" w:name="_Toc131845147"/>
    <w:r>
      <w:rPr>
        <w:rFonts w:hint="eastAsia" w:ascii="仿宋_GB2312" w:eastAsia="仿宋_GB2312"/>
        <w:kern w:val="0"/>
        <w:szCs w:val="21"/>
      </w:rPr>
      <w:t xml:space="preserve"> 页</w:t>
    </w:r>
    <w:bookmarkEnd w:id="510"/>
    <w:bookmarkEnd w:id="511"/>
    <w:bookmarkEnd w:id="512"/>
    <w:bookmarkEnd w:id="5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 xml:space="preserve">                                </w:t>
    </w: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5A502"/>
    <w:multiLevelType w:val="singleLevel"/>
    <w:tmpl w:val="4715A502"/>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RhYTFmMmY4ZTFlMzBmMTBkMjNiNjAwZTlhOGNm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5FA"/>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2FDC"/>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3F42"/>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47A"/>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4EAA"/>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83C"/>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00E"/>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24D"/>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270"/>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813"/>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5A9"/>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2C67"/>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5F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014"/>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10"/>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0E1"/>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747"/>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84CB5"/>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57F3E"/>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C46A06"/>
    <w:rsid w:val="07245D42"/>
    <w:rsid w:val="07264C62"/>
    <w:rsid w:val="0779354C"/>
    <w:rsid w:val="08061376"/>
    <w:rsid w:val="08452D77"/>
    <w:rsid w:val="08457150"/>
    <w:rsid w:val="086401F8"/>
    <w:rsid w:val="08751CAA"/>
    <w:rsid w:val="087D0425"/>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C24D12"/>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34171"/>
    <w:rsid w:val="118963A1"/>
    <w:rsid w:val="11C6522A"/>
    <w:rsid w:val="11CC7163"/>
    <w:rsid w:val="11E104CC"/>
    <w:rsid w:val="11E20309"/>
    <w:rsid w:val="12255233"/>
    <w:rsid w:val="12530213"/>
    <w:rsid w:val="1264493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5211E3"/>
    <w:rsid w:val="19932372"/>
    <w:rsid w:val="19A20DD5"/>
    <w:rsid w:val="19AE03F1"/>
    <w:rsid w:val="19C305EE"/>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D330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2E2FA5"/>
    <w:rsid w:val="233500BF"/>
    <w:rsid w:val="23377FF7"/>
    <w:rsid w:val="236B425F"/>
    <w:rsid w:val="23836192"/>
    <w:rsid w:val="23901F29"/>
    <w:rsid w:val="239C0061"/>
    <w:rsid w:val="23B64D10"/>
    <w:rsid w:val="23B908A4"/>
    <w:rsid w:val="23E95BEF"/>
    <w:rsid w:val="23FD0064"/>
    <w:rsid w:val="245375B0"/>
    <w:rsid w:val="24642C0A"/>
    <w:rsid w:val="24B22173"/>
    <w:rsid w:val="24B95AD9"/>
    <w:rsid w:val="24BE24DA"/>
    <w:rsid w:val="24CF5825"/>
    <w:rsid w:val="24D663E6"/>
    <w:rsid w:val="24D77F2B"/>
    <w:rsid w:val="24F111C5"/>
    <w:rsid w:val="24FE107E"/>
    <w:rsid w:val="258B00E2"/>
    <w:rsid w:val="25A917A6"/>
    <w:rsid w:val="25BE27CC"/>
    <w:rsid w:val="25F74A5C"/>
    <w:rsid w:val="2628662C"/>
    <w:rsid w:val="262D45DE"/>
    <w:rsid w:val="26871DC8"/>
    <w:rsid w:val="26A37F1C"/>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3D496F"/>
    <w:rsid w:val="30733ACD"/>
    <w:rsid w:val="308C3862"/>
    <w:rsid w:val="309379D8"/>
    <w:rsid w:val="30A270F7"/>
    <w:rsid w:val="30DF1478"/>
    <w:rsid w:val="30EC586F"/>
    <w:rsid w:val="319C6071"/>
    <w:rsid w:val="31AC537E"/>
    <w:rsid w:val="31E3679B"/>
    <w:rsid w:val="31E732FD"/>
    <w:rsid w:val="32517576"/>
    <w:rsid w:val="3271349B"/>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407A3C"/>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85BFF"/>
    <w:rsid w:val="391711C8"/>
    <w:rsid w:val="39636459"/>
    <w:rsid w:val="396B7F6C"/>
    <w:rsid w:val="39B417A9"/>
    <w:rsid w:val="39FC5695"/>
    <w:rsid w:val="3A006D8E"/>
    <w:rsid w:val="3A3651E5"/>
    <w:rsid w:val="3A744481"/>
    <w:rsid w:val="3A823177"/>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D05E38"/>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2C3956"/>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B2035D"/>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66B18"/>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943FE"/>
    <w:rsid w:val="54013861"/>
    <w:rsid w:val="54487265"/>
    <w:rsid w:val="544D6070"/>
    <w:rsid w:val="54605E1E"/>
    <w:rsid w:val="54B3506A"/>
    <w:rsid w:val="54CA0D16"/>
    <w:rsid w:val="54CA3F4C"/>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532CDF"/>
    <w:rsid w:val="566B6D1E"/>
    <w:rsid w:val="57032A2C"/>
    <w:rsid w:val="570F5219"/>
    <w:rsid w:val="575D12B5"/>
    <w:rsid w:val="57610A87"/>
    <w:rsid w:val="577B1140"/>
    <w:rsid w:val="577B7F21"/>
    <w:rsid w:val="577F181B"/>
    <w:rsid w:val="578F09A6"/>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B446C"/>
    <w:rsid w:val="5B7E1D3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BD4661"/>
    <w:rsid w:val="60FA2EE8"/>
    <w:rsid w:val="61054A27"/>
    <w:rsid w:val="610A52BC"/>
    <w:rsid w:val="611D2366"/>
    <w:rsid w:val="61421856"/>
    <w:rsid w:val="615227C4"/>
    <w:rsid w:val="61654E3F"/>
    <w:rsid w:val="6182292A"/>
    <w:rsid w:val="619F7F92"/>
    <w:rsid w:val="61D86E23"/>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93788E"/>
    <w:rsid w:val="65DE37AF"/>
    <w:rsid w:val="66195831"/>
    <w:rsid w:val="662E75B1"/>
    <w:rsid w:val="66342C2E"/>
    <w:rsid w:val="663E784C"/>
    <w:rsid w:val="665E7D3C"/>
    <w:rsid w:val="668B6A45"/>
    <w:rsid w:val="672F3F24"/>
    <w:rsid w:val="673E055F"/>
    <w:rsid w:val="67551CE3"/>
    <w:rsid w:val="67890507"/>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8D63A5"/>
    <w:rsid w:val="6D9078AF"/>
    <w:rsid w:val="6DAA3FEF"/>
    <w:rsid w:val="6DC0172B"/>
    <w:rsid w:val="6DCB690C"/>
    <w:rsid w:val="6DD41A5B"/>
    <w:rsid w:val="6DF43C2E"/>
    <w:rsid w:val="6DF51CA3"/>
    <w:rsid w:val="6E8335BD"/>
    <w:rsid w:val="6E8E12EF"/>
    <w:rsid w:val="6E972936"/>
    <w:rsid w:val="6ED446C5"/>
    <w:rsid w:val="6F2A7D94"/>
    <w:rsid w:val="6F8331F1"/>
    <w:rsid w:val="6F907CB4"/>
    <w:rsid w:val="6FAE1A09"/>
    <w:rsid w:val="6FD75BF8"/>
    <w:rsid w:val="707723D0"/>
    <w:rsid w:val="70837CF6"/>
    <w:rsid w:val="70F5661B"/>
    <w:rsid w:val="71360107"/>
    <w:rsid w:val="713B688E"/>
    <w:rsid w:val="71D43752"/>
    <w:rsid w:val="71F1796A"/>
    <w:rsid w:val="72154626"/>
    <w:rsid w:val="72262B5D"/>
    <w:rsid w:val="72283FF7"/>
    <w:rsid w:val="722E7212"/>
    <w:rsid w:val="723A0474"/>
    <w:rsid w:val="725923E4"/>
    <w:rsid w:val="72864BF7"/>
    <w:rsid w:val="728843A6"/>
    <w:rsid w:val="729023FC"/>
    <w:rsid w:val="730C7C3D"/>
    <w:rsid w:val="73422789"/>
    <w:rsid w:val="73C0646E"/>
    <w:rsid w:val="73E53D4F"/>
    <w:rsid w:val="742222F5"/>
    <w:rsid w:val="74476126"/>
    <w:rsid w:val="74706664"/>
    <w:rsid w:val="747F3682"/>
    <w:rsid w:val="749C4185"/>
    <w:rsid w:val="75067759"/>
    <w:rsid w:val="752E6DCD"/>
    <w:rsid w:val="75324F02"/>
    <w:rsid w:val="7551380D"/>
    <w:rsid w:val="75600BE5"/>
    <w:rsid w:val="7564475C"/>
    <w:rsid w:val="75684737"/>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028CA"/>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34560C"/>
    <w:rsid w:val="7C534232"/>
    <w:rsid w:val="7C590818"/>
    <w:rsid w:val="7C7C10F6"/>
    <w:rsid w:val="7C853BEA"/>
    <w:rsid w:val="7C881368"/>
    <w:rsid w:val="7CE27788"/>
    <w:rsid w:val="7D0C32F1"/>
    <w:rsid w:val="7D0F408D"/>
    <w:rsid w:val="7D491C6C"/>
    <w:rsid w:val="7D5429C0"/>
    <w:rsid w:val="7D6E6D43"/>
    <w:rsid w:val="7D82633D"/>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0"/>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字符"/>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6848</Words>
  <Characters>39034</Characters>
  <Lines>325</Lines>
  <Paragraphs>91</Paragraphs>
  <TotalTime>24</TotalTime>
  <ScaleCrop>false</ScaleCrop>
  <LinksUpToDate>false</LinksUpToDate>
  <CharactersWithSpaces>45791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宇小羽</cp:lastModifiedBy>
  <cp:lastPrinted>2022-12-23T01:28:00Z</cp:lastPrinted>
  <dcterms:modified xsi:type="dcterms:W3CDTF">2022-12-26T01:50:58Z</dcterms:modified>
  <dc:title>杭州市市民卡扩大发卡工程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