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000" w:lineRule="exact"/>
        <w:rPr>
          <w:rFonts w:hint="eastAsia" w:ascii="方正小标宋_GBK" w:hAnsi="方正小标宋_GBK" w:eastAsia="方正小标宋_GBK" w:cs="方正小标宋_GBK"/>
          <w:color w:val="FF0000"/>
          <w:spacing w:val="20"/>
          <w:sz w:val="56"/>
          <w:szCs w:val="56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color w:val="FF0000"/>
          <w:spacing w:val="20"/>
          <w:kern w:val="0"/>
          <w:sz w:val="56"/>
          <w:szCs w:val="56"/>
          <w:lang w:val="en-US" w:eastAsia="zh-CN" w:bidi="ar-SA"/>
        </w:rPr>
        <w:pict>
          <v:rect id="文本框 2" o:spid="_x0000_s1026" style="position:absolute;left:0;margin-left:375.1pt;margin-top:23.75pt;height:80.7pt;width:96.35pt;rotation:0f;z-index:251659264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800" w:hanging="800" w:hangingChars="100"/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kern w:val="0"/>
                      <w:position w:val="-110"/>
                      <w:sz w:val="80"/>
                      <w:szCs w:val="80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kern w:val="0"/>
                      <w:position w:val="-110"/>
                      <w:sz w:val="80"/>
                      <w:szCs w:val="80"/>
                    </w:rPr>
                    <w:t>文件</w:t>
                  </w:r>
                </w:p>
                <w:p/>
              </w:txbxContent>
            </v:textbox>
          </v:rect>
        </w:pict>
      </w:r>
      <w:r>
        <w:rPr>
          <w:rFonts w:hint="eastAsia" w:ascii="方正小标宋_GBK" w:hAnsi="方正小标宋_GBK" w:eastAsia="方正小标宋_GBK" w:cs="方正小标宋_GBK"/>
          <w:color w:val="FF0000"/>
          <w:spacing w:val="20"/>
          <w:sz w:val="56"/>
          <w:szCs w:val="56"/>
        </w:rPr>
        <w:t>杭州市余杭区林业水利局</w:t>
      </w:r>
    </w:p>
    <w:p>
      <w:pPr>
        <w:rPr>
          <w:rFonts w:hint="eastAsia" w:ascii="仿宋_GB2312" w:eastAsia="仿宋_GB2312"/>
          <w:b/>
          <w:spacing w:val="2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20"/>
          <w:sz w:val="56"/>
          <w:szCs w:val="56"/>
        </w:rPr>
        <w:t xml:space="preserve">杭州市余杭区财政局 </w:t>
      </w:r>
    </w:p>
    <w:p>
      <w:pPr>
        <w:adjustRightInd w:val="0"/>
        <w:snapToGrid w:val="0"/>
        <w:rPr>
          <w:rFonts w:hint="eastAsia" w:ascii="仿宋_GB2312" w:eastAsia="仿宋_GB2312"/>
          <w:b/>
          <w:w w:val="8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FF0000"/>
          <w:w w:val="80"/>
          <w:sz w:val="56"/>
          <w:szCs w:val="56"/>
        </w:rPr>
        <w:t>杭州市余杭区公共资源交易管理办公室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余林水水字〔2019〕30号</w:t>
      </w:r>
    </w:p>
    <w:p>
      <w:pPr>
        <w:rPr>
          <w:rFonts w:hint="eastAsia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1" o:spid="_x0000_s1027" style="position:absolute;left:0;margin-left:0pt;margin-top:13.2pt;height:0.05pt;width:437.1pt;rotation:0f;z-index:251658240;" o:ole="f" fillcolor="#FFFFFF" filled="f" o:preferrelative="t" stroked="t" coordsize="21600,21600">
            <v:fill on="f" color2="#FFFFFF" focus="0%"/>
            <v:stroke weight="2pt" color="#FF0000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adjustRightInd w:val="0"/>
        <w:snapToGrid w:val="0"/>
        <w:spacing w:line="570" w:lineRule="exact"/>
        <w:rPr>
          <w:rFonts w:hint="eastAsia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关于调整余杭区水利建设工程限价幅度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范围政府指导指数的通知</w:t>
      </w:r>
    </w:p>
    <w:p>
      <w:pPr>
        <w:spacing w:line="57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各有</w:t>
      </w:r>
      <w:r>
        <w:rPr>
          <w:rFonts w:hint="eastAsia" w:ascii="仿宋_GB2312" w:eastAsia="仿宋_GB2312"/>
          <w:sz w:val="32"/>
          <w:szCs w:val="32"/>
        </w:rPr>
        <w:t>关单位: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为进一步规范我区水利工程招投标活动和市场交易秩序，保障我区水利建筑业的健康持续发展，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根据余林水水字〔2010〕20号文件《关于水利建设项目招投标实行“预算公开”若干规定（试行）》第五条之规定，结合我区水利建设市场的实际情况，</w:t>
      </w:r>
      <w:r>
        <w:rPr>
          <w:rFonts w:hint="eastAsia" w:ascii="仿宋_GB2312" w:eastAsia="仿宋_GB2312"/>
          <w:sz w:val="32"/>
          <w:szCs w:val="32"/>
        </w:rPr>
        <w:t>经前期调研、评估、论证，以及区公共资源交易管理监督联席会议慎重讨论决定，现对我区水利工程限价幅度范围政府指导指数进行调整：</w:t>
      </w:r>
    </w:p>
    <w:p>
      <w:pPr>
        <w:spacing w:line="57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一、本期水利建设工程政府指导浮动比率为：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1、闸站、山塘水库工程：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最高限价为预算审核价下浮2%－4%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风险控制价基本幅度范围为预算审核价下浮7%－9%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2、河道整治工程（包括河道综合整治工程、河道疏浚工程）：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最高限价基本幅度范围为预算审核价下浮14%－16%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风险控制价基本幅度范围为预算审核价下浮19%－21%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3、堤防工程、其他工程：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最高限价基本幅度范围为预算审核价下浮8%－10%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风险控制价基本幅度范围为预算审核价下浮13%－15%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本指导费率适用于采用“预算公开”的经评审合理低价评标办法。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本通知自公布之日起30日后施行。施行之前已发布招标文件的项目，仍按招标文件中明确的原限价幅度范围执行。原余杭区水利建设工程招投标制度、规定与本通知不一致之处，以本通知意见为准。</w:t>
      </w: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杭州市余杭区林业水利局</w:t>
      </w:r>
    </w:p>
    <w:p>
      <w:pPr>
        <w:spacing w:line="57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杭州市余杭区财政局</w:t>
      </w:r>
    </w:p>
    <w:p>
      <w:pPr>
        <w:spacing w:line="57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杭州市余杭区公共资源交易管理办公室</w:t>
      </w:r>
    </w:p>
    <w:p>
      <w:pPr>
        <w:spacing w:line="57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2019年4月24日</w:t>
      </w:r>
    </w:p>
    <w:p>
      <w:pPr>
        <w:spacing w:line="57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pBdr>
          <w:bottom w:val="single" w:color="auto" w:sz="6" w:space="1"/>
        </w:pBdr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 抄送：区纪委（监委）、区发改局、区审计局。</w:t>
      </w:r>
    </w:p>
    <w:p>
      <w:pPr>
        <w:pBdr>
          <w:top w:val="single" w:color="auto" w:sz="6" w:space="1"/>
          <w:bottom w:val="single" w:color="auto" w:sz="6" w:space="1"/>
        </w:pBdr>
        <w:spacing w:line="600" w:lineRule="exact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杭州市余杭区林业水利局                   </w:t>
      </w:r>
      <w:bookmarkStart w:id="0" w:name="Year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color w:val="000000"/>
          <w:sz w:val="28"/>
          <w:szCs w:val="28"/>
        </w:rPr>
        <w:t>201</w:t>
      </w:r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9年4月25日印发 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3F97"/>
    <w:rsid w:val="00603F97"/>
    <w:rsid w:val="00652527"/>
    <w:rsid w:val="00B226C6"/>
    <w:rsid w:val="00DB03C3"/>
    <w:rsid w:val="00EC1134"/>
    <w:rsid w:val="27AB3BEC"/>
    <w:rsid w:val="356E2781"/>
    <w:rsid w:val="4DC80585"/>
    <w:rsid w:val="671D7BA2"/>
    <w:rsid w:val="6CEB75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 Char Char Char Char Char Char2 Char 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</Words>
  <Characters>964</Characters>
  <Lines>8</Lines>
  <Paragraphs>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蒋政勤</cp:lastModifiedBy>
  <dcterms:modified xsi:type="dcterms:W3CDTF">2021-09-02T02:28:32Z</dcterms:modified>
  <dc:title>杭州市余杭区林业水利局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E6931292A03648D0B9FC9C66CCCAA580</vt:lpwstr>
  </property>
</Properties>
</file>