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szCs w:val="52"/>
        </w:rPr>
      </w:pPr>
    </w:p>
    <w:p>
      <w:pPr>
        <w:jc w:val="center"/>
        <w:rPr>
          <w:b/>
          <w:bCs/>
          <w:sz w:val="52"/>
          <w:szCs w:val="52"/>
        </w:rPr>
      </w:pPr>
      <w:r>
        <w:rPr>
          <w:rFonts w:hint="eastAsia"/>
          <w:b/>
          <w:bCs/>
          <w:sz w:val="52"/>
          <w:szCs w:val="52"/>
        </w:rPr>
        <w:t>杭州市临平区救助管理和未成年人救助保护中心物业服务采购项目</w:t>
      </w:r>
    </w:p>
    <w:p>
      <w:pPr>
        <w:jc w:val="center"/>
        <w:rPr>
          <w:b/>
          <w:bCs/>
          <w:sz w:val="52"/>
          <w:szCs w:val="52"/>
        </w:rPr>
      </w:pPr>
      <w:r>
        <w:rPr>
          <w:rFonts w:hint="eastAsia"/>
          <w:b/>
          <w:bCs/>
          <w:sz w:val="52"/>
          <w:szCs w:val="52"/>
        </w:rPr>
        <w:t>采购项目</w:t>
      </w:r>
    </w:p>
    <w:p>
      <w:pPr>
        <w:jc w:val="center"/>
        <w:rPr>
          <w:b/>
          <w:sz w:val="84"/>
          <w:szCs w:val="84"/>
        </w:rPr>
      </w:pPr>
      <w:r>
        <w:rPr>
          <w:b/>
          <w:sz w:val="84"/>
          <w:szCs w:val="84"/>
        </w:rPr>
        <w:t>招 标 文 件</w:t>
      </w:r>
    </w:p>
    <w:p>
      <w:pPr>
        <w:jc w:val="center"/>
        <w:rPr>
          <w:b/>
          <w:sz w:val="36"/>
          <w:szCs w:val="36"/>
        </w:rPr>
      </w:pPr>
      <w:r>
        <w:rPr>
          <w:b/>
          <w:sz w:val="36"/>
          <w:szCs w:val="36"/>
        </w:rPr>
        <w:t>（项目编号：HZLPZFCG-2021-005）</w:t>
      </w:r>
    </w:p>
    <w:p>
      <w:pPr>
        <w:jc w:val="center"/>
        <w:rPr>
          <w:b/>
          <w:sz w:val="44"/>
          <w:szCs w:val="4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adjustRightInd w:val="0"/>
        <w:snapToGrid w:val="0"/>
        <w:spacing w:line="360" w:lineRule="auto"/>
        <w:jc w:val="center"/>
        <w:rPr>
          <w:b/>
          <w:sz w:val="36"/>
          <w:szCs w:val="36"/>
        </w:rPr>
      </w:pPr>
      <w:r>
        <w:rPr>
          <w:b/>
          <w:sz w:val="36"/>
          <w:szCs w:val="36"/>
        </w:rPr>
        <w:t>采购人：</w:t>
      </w:r>
      <w:r>
        <w:rPr>
          <w:rFonts w:hint="eastAsia"/>
          <w:b/>
          <w:sz w:val="36"/>
          <w:szCs w:val="36"/>
        </w:rPr>
        <w:t>杭州市临平区救助管理和未成年人救助保护中心</w:t>
      </w:r>
    </w:p>
    <w:p>
      <w:pPr>
        <w:pStyle w:val="10"/>
        <w:spacing w:line="360" w:lineRule="auto"/>
        <w:ind w:left="113" w:leftChars="47"/>
        <w:jc w:val="center"/>
        <w:rPr>
          <w:b/>
          <w:sz w:val="36"/>
          <w:szCs w:val="36"/>
        </w:rPr>
      </w:pPr>
      <w:r>
        <w:rPr>
          <w:b/>
          <w:sz w:val="36"/>
          <w:szCs w:val="36"/>
        </w:rPr>
        <w:t>采购代理机构：杭州市公共资源交易中心临平分中心</w:t>
      </w:r>
    </w:p>
    <w:p>
      <w:pPr>
        <w:jc w:val="center"/>
      </w:pPr>
      <w:bookmarkStart w:id="0" w:name="year1"/>
      <w:r>
        <w:rPr>
          <w:rFonts w:hint="eastAsia" w:ascii="宋体" w:hAnsi="宋体" w:cs="宋体"/>
          <w:b/>
          <w:sz w:val="36"/>
          <w:szCs w:val="36"/>
        </w:rPr>
        <w:t>20</w:t>
      </w:r>
      <w:bookmarkEnd w:id="0"/>
      <w:r>
        <w:rPr>
          <w:rFonts w:hint="eastAsia" w:ascii="宋体" w:hAnsi="宋体" w:cs="宋体"/>
          <w:b/>
          <w:sz w:val="36"/>
          <w:szCs w:val="36"/>
        </w:rPr>
        <w:t>21年8月</w:t>
      </w:r>
    </w:p>
    <w:p>
      <w:pPr>
        <w:pStyle w:val="10"/>
        <w:spacing w:line="360" w:lineRule="auto"/>
        <w:ind w:left="113" w:leftChars="47"/>
        <w:jc w:val="center"/>
        <w:rPr>
          <w:sz w:val="36"/>
          <w:szCs w:val="36"/>
        </w:rPr>
      </w:pPr>
      <w:r>
        <w:rPr>
          <w:sz w:val="36"/>
          <w:szCs w:val="36"/>
        </w:rPr>
        <w:br w:type="page"/>
      </w:r>
      <w:r>
        <w:rPr>
          <w:sz w:val="36"/>
          <w:szCs w:val="36"/>
        </w:rPr>
        <w:t>目     录</w:t>
      </w:r>
    </w:p>
    <w:p>
      <w:pPr>
        <w:pStyle w:val="14"/>
        <w:tabs>
          <w:tab w:val="right" w:leader="dot" w:pos="8834"/>
        </w:tabs>
        <w:rPr>
          <w:rFonts w:ascii="Times New Roman" w:hAnsi="Times New Roman" w:cs="黑体"/>
          <w:kern w:val="2"/>
          <w:sz w:val="24"/>
        </w:rPr>
      </w:pPr>
      <w:r>
        <w:rPr>
          <w:rFonts w:ascii="Times New Roman" w:hAnsi="Times New Roman"/>
          <w:sz w:val="24"/>
        </w:rPr>
        <w:fldChar w:fldCharType="begin"/>
      </w:r>
      <w:r>
        <w:rPr>
          <w:rFonts w:ascii="Times New Roman" w:hAnsi="Times New Roman"/>
          <w:sz w:val="24"/>
        </w:rPr>
        <w:instrText xml:space="preserve"> TOC \o "1-2" \h \z \u </w:instrText>
      </w:r>
      <w:r>
        <w:rPr>
          <w:rFonts w:ascii="Times New Roman" w:hAnsi="Times New Roman"/>
          <w:sz w:val="24"/>
        </w:rPr>
        <w:fldChar w:fldCharType="separate"/>
      </w:r>
      <w:r>
        <w:fldChar w:fldCharType="begin"/>
      </w:r>
      <w:r>
        <w:instrText xml:space="preserve"> HYPERLINK \l "_Toc66264896" </w:instrText>
      </w:r>
      <w:r>
        <w:fldChar w:fldCharType="separate"/>
      </w:r>
      <w:r>
        <w:rPr>
          <w:rStyle w:val="23"/>
          <w:rFonts w:hint="eastAsia" w:ascii="Times New Roman" w:hAnsi="Times New Roman" w:eastAsia="宋体"/>
          <w:color w:val="auto"/>
          <w:sz w:val="24"/>
        </w:rPr>
        <w:t>第一章</w:t>
      </w:r>
      <w:r>
        <w:rPr>
          <w:rStyle w:val="23"/>
          <w:rFonts w:ascii="Times New Roman" w:hAnsi="Times New Roman" w:eastAsia="宋体"/>
          <w:color w:val="auto"/>
          <w:sz w:val="24"/>
        </w:rPr>
        <w:t xml:space="preserve"> </w:t>
      </w:r>
      <w:r>
        <w:rPr>
          <w:rStyle w:val="23"/>
          <w:rFonts w:hint="eastAsia" w:ascii="Times New Roman" w:hAnsi="Times New Roman" w:eastAsia="宋体"/>
          <w:color w:val="auto"/>
          <w:sz w:val="24"/>
        </w:rPr>
        <w:t>招标公告</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_Toc66264896 \h </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r>
        <w:rPr>
          <w:rFonts w:ascii="Times New Roman" w:hAnsi="Times New Roman"/>
          <w:sz w:val="24"/>
        </w:rPr>
        <w:fldChar w:fldCharType="end"/>
      </w:r>
    </w:p>
    <w:p>
      <w:pPr>
        <w:pStyle w:val="14"/>
        <w:tabs>
          <w:tab w:val="right" w:leader="dot" w:pos="8834"/>
        </w:tabs>
        <w:rPr>
          <w:rFonts w:ascii="Times New Roman" w:hAnsi="Times New Roman" w:cs="黑体"/>
          <w:kern w:val="2"/>
          <w:sz w:val="24"/>
        </w:rPr>
      </w:pPr>
      <w:r>
        <w:fldChar w:fldCharType="begin"/>
      </w:r>
      <w:r>
        <w:instrText xml:space="preserve"> HYPERLINK \l "_Toc66264897" </w:instrText>
      </w:r>
      <w:r>
        <w:fldChar w:fldCharType="separate"/>
      </w:r>
      <w:r>
        <w:rPr>
          <w:rStyle w:val="23"/>
          <w:rFonts w:hint="eastAsia" w:ascii="Times New Roman" w:hAnsi="Times New Roman" w:eastAsia="宋体"/>
          <w:color w:val="auto"/>
          <w:sz w:val="24"/>
        </w:rPr>
        <w:t>第二章</w:t>
      </w:r>
      <w:r>
        <w:rPr>
          <w:rStyle w:val="23"/>
          <w:rFonts w:ascii="Times New Roman" w:hAnsi="Times New Roman" w:eastAsia="宋体"/>
          <w:color w:val="auto"/>
          <w:sz w:val="24"/>
        </w:rPr>
        <w:t xml:space="preserve"> </w:t>
      </w:r>
      <w:r>
        <w:rPr>
          <w:rStyle w:val="23"/>
          <w:rFonts w:hint="eastAsia" w:ascii="Times New Roman" w:hAnsi="Times New Roman" w:eastAsia="宋体"/>
          <w:color w:val="auto"/>
          <w:sz w:val="24"/>
        </w:rPr>
        <w:t>招标需求</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_Toc66264897 \h </w:instrText>
      </w:r>
      <w:r>
        <w:rPr>
          <w:rFonts w:ascii="Times New Roman" w:hAnsi="Times New Roman"/>
          <w:sz w:val="24"/>
        </w:rPr>
        <w:fldChar w:fldCharType="separate"/>
      </w:r>
      <w:r>
        <w:rPr>
          <w:rFonts w:ascii="Times New Roman" w:hAnsi="Times New Roman"/>
          <w:sz w:val="24"/>
        </w:rPr>
        <w:t>4</w:t>
      </w:r>
      <w:r>
        <w:rPr>
          <w:rFonts w:ascii="Times New Roman" w:hAnsi="Times New Roman"/>
          <w:sz w:val="24"/>
        </w:rPr>
        <w:fldChar w:fldCharType="end"/>
      </w:r>
      <w:r>
        <w:rPr>
          <w:rFonts w:ascii="Times New Roman" w:hAnsi="Times New Roman"/>
          <w:sz w:val="24"/>
        </w:rPr>
        <w:fldChar w:fldCharType="end"/>
      </w:r>
    </w:p>
    <w:p>
      <w:pPr>
        <w:pStyle w:val="14"/>
        <w:tabs>
          <w:tab w:val="right" w:leader="dot" w:pos="8834"/>
        </w:tabs>
        <w:rPr>
          <w:rFonts w:ascii="Times New Roman" w:hAnsi="Times New Roman" w:cs="黑体"/>
          <w:kern w:val="2"/>
          <w:sz w:val="24"/>
        </w:rPr>
      </w:pPr>
      <w:r>
        <w:fldChar w:fldCharType="begin"/>
      </w:r>
      <w:r>
        <w:instrText xml:space="preserve"> HYPERLINK \l "_Toc66264898" </w:instrText>
      </w:r>
      <w:r>
        <w:fldChar w:fldCharType="separate"/>
      </w:r>
      <w:r>
        <w:rPr>
          <w:rStyle w:val="23"/>
          <w:rFonts w:hint="eastAsia" w:ascii="Times New Roman" w:hAnsi="Times New Roman" w:eastAsia="宋体"/>
          <w:color w:val="auto"/>
          <w:sz w:val="24"/>
        </w:rPr>
        <w:t>第三章</w:t>
      </w:r>
      <w:r>
        <w:rPr>
          <w:rStyle w:val="23"/>
          <w:rFonts w:ascii="Times New Roman" w:hAnsi="Times New Roman" w:eastAsia="宋体"/>
          <w:color w:val="auto"/>
          <w:sz w:val="24"/>
        </w:rPr>
        <w:t xml:space="preserve"> </w:t>
      </w:r>
      <w:r>
        <w:rPr>
          <w:rStyle w:val="23"/>
          <w:rFonts w:hint="eastAsia" w:ascii="Times New Roman" w:hAnsi="Times New Roman" w:eastAsia="宋体"/>
          <w:color w:val="auto"/>
          <w:sz w:val="24"/>
        </w:rPr>
        <w:t>投标人须知</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_Toc66264898 \h </w:instrText>
      </w:r>
      <w:r>
        <w:rPr>
          <w:rFonts w:ascii="Times New Roman" w:hAnsi="Times New Roman"/>
          <w:sz w:val="24"/>
        </w:rPr>
        <w:fldChar w:fldCharType="separate"/>
      </w:r>
      <w:r>
        <w:rPr>
          <w:rFonts w:ascii="Times New Roman" w:hAnsi="Times New Roman"/>
          <w:sz w:val="24"/>
        </w:rPr>
        <w:t>21</w:t>
      </w:r>
      <w:r>
        <w:rPr>
          <w:rFonts w:ascii="Times New Roman" w:hAnsi="Times New Roman"/>
          <w:sz w:val="24"/>
        </w:rPr>
        <w:fldChar w:fldCharType="end"/>
      </w:r>
      <w:r>
        <w:rPr>
          <w:rFonts w:ascii="Times New Roman" w:hAnsi="Times New Roman"/>
          <w:sz w:val="24"/>
        </w:rPr>
        <w:fldChar w:fldCharType="end"/>
      </w:r>
    </w:p>
    <w:p>
      <w:pPr>
        <w:pStyle w:val="14"/>
        <w:tabs>
          <w:tab w:val="right" w:leader="dot" w:pos="8834"/>
        </w:tabs>
        <w:rPr>
          <w:rFonts w:ascii="Times New Roman" w:hAnsi="Times New Roman" w:cs="黑体"/>
          <w:kern w:val="2"/>
          <w:sz w:val="24"/>
        </w:rPr>
      </w:pPr>
      <w:r>
        <w:fldChar w:fldCharType="begin"/>
      </w:r>
      <w:r>
        <w:instrText xml:space="preserve"> HYPERLINK \l "_Toc66264906" </w:instrText>
      </w:r>
      <w:r>
        <w:fldChar w:fldCharType="separate"/>
      </w:r>
      <w:r>
        <w:rPr>
          <w:rStyle w:val="23"/>
          <w:rFonts w:hint="eastAsia" w:ascii="Times New Roman" w:hAnsi="Times New Roman" w:eastAsia="宋体"/>
          <w:color w:val="auto"/>
          <w:sz w:val="24"/>
        </w:rPr>
        <w:t>第四章</w:t>
      </w:r>
      <w:r>
        <w:rPr>
          <w:rStyle w:val="23"/>
          <w:rFonts w:ascii="Times New Roman" w:hAnsi="Times New Roman" w:eastAsia="宋体"/>
          <w:color w:val="auto"/>
          <w:sz w:val="24"/>
        </w:rPr>
        <w:t xml:space="preserve">  </w:t>
      </w:r>
      <w:r>
        <w:rPr>
          <w:rStyle w:val="23"/>
          <w:rFonts w:hint="eastAsia" w:ascii="Times New Roman" w:hAnsi="Times New Roman" w:eastAsia="宋体"/>
          <w:color w:val="auto"/>
          <w:sz w:val="24"/>
        </w:rPr>
        <w:t>评标办法及评分标准</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_Toc66264906 \h </w:instrText>
      </w:r>
      <w:r>
        <w:rPr>
          <w:rFonts w:ascii="Times New Roman" w:hAnsi="Times New Roman"/>
          <w:sz w:val="24"/>
        </w:rPr>
        <w:fldChar w:fldCharType="separate"/>
      </w:r>
      <w:r>
        <w:rPr>
          <w:rFonts w:ascii="Times New Roman" w:hAnsi="Times New Roman"/>
          <w:sz w:val="24"/>
        </w:rPr>
        <w:t>33</w:t>
      </w:r>
      <w:r>
        <w:rPr>
          <w:rFonts w:ascii="Times New Roman" w:hAnsi="Times New Roman"/>
          <w:sz w:val="24"/>
        </w:rPr>
        <w:fldChar w:fldCharType="end"/>
      </w:r>
      <w:r>
        <w:rPr>
          <w:rFonts w:ascii="Times New Roman" w:hAnsi="Times New Roman"/>
          <w:sz w:val="24"/>
        </w:rPr>
        <w:fldChar w:fldCharType="end"/>
      </w:r>
    </w:p>
    <w:p>
      <w:pPr>
        <w:pStyle w:val="14"/>
        <w:tabs>
          <w:tab w:val="right" w:leader="dot" w:pos="8834"/>
        </w:tabs>
        <w:rPr>
          <w:rFonts w:ascii="Times New Roman" w:hAnsi="Times New Roman" w:cs="黑体"/>
          <w:kern w:val="2"/>
          <w:sz w:val="24"/>
        </w:rPr>
      </w:pPr>
      <w:r>
        <w:fldChar w:fldCharType="begin"/>
      </w:r>
      <w:r>
        <w:instrText xml:space="preserve"> HYPERLINK \l "_Toc66264907" </w:instrText>
      </w:r>
      <w:r>
        <w:fldChar w:fldCharType="separate"/>
      </w:r>
      <w:r>
        <w:rPr>
          <w:rStyle w:val="23"/>
          <w:rFonts w:hint="eastAsia" w:ascii="Times New Roman" w:hAnsi="Times New Roman" w:eastAsia="宋体"/>
          <w:color w:val="auto"/>
          <w:sz w:val="24"/>
        </w:rPr>
        <w:t>第五章</w:t>
      </w:r>
      <w:r>
        <w:rPr>
          <w:rStyle w:val="23"/>
          <w:rFonts w:ascii="Times New Roman" w:hAnsi="Times New Roman" w:eastAsia="宋体"/>
          <w:color w:val="auto"/>
          <w:sz w:val="24"/>
        </w:rPr>
        <w:t xml:space="preserve">  </w:t>
      </w:r>
      <w:r>
        <w:rPr>
          <w:rStyle w:val="23"/>
          <w:rFonts w:hint="eastAsia" w:ascii="Times New Roman" w:hAnsi="Times New Roman" w:eastAsia="宋体"/>
          <w:color w:val="auto"/>
          <w:sz w:val="24"/>
        </w:rPr>
        <w:t>政府采购合同范本</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_Toc66264907 \h </w:instrText>
      </w:r>
      <w:r>
        <w:rPr>
          <w:rFonts w:ascii="Times New Roman" w:hAnsi="Times New Roman"/>
          <w:sz w:val="24"/>
        </w:rPr>
        <w:fldChar w:fldCharType="separate"/>
      </w:r>
      <w:r>
        <w:rPr>
          <w:rFonts w:ascii="Times New Roman" w:hAnsi="Times New Roman"/>
          <w:sz w:val="24"/>
        </w:rPr>
        <w:t>37</w:t>
      </w:r>
      <w:r>
        <w:rPr>
          <w:rFonts w:ascii="Times New Roman" w:hAnsi="Times New Roman"/>
          <w:sz w:val="24"/>
        </w:rPr>
        <w:fldChar w:fldCharType="end"/>
      </w:r>
      <w:r>
        <w:rPr>
          <w:rFonts w:ascii="Times New Roman" w:hAnsi="Times New Roman"/>
          <w:sz w:val="24"/>
        </w:rPr>
        <w:fldChar w:fldCharType="end"/>
      </w:r>
    </w:p>
    <w:p>
      <w:pPr>
        <w:pStyle w:val="14"/>
        <w:tabs>
          <w:tab w:val="right" w:leader="dot" w:pos="8834"/>
        </w:tabs>
        <w:rPr>
          <w:rFonts w:ascii="Times New Roman" w:hAnsi="Times New Roman" w:cs="黑体"/>
          <w:kern w:val="2"/>
          <w:sz w:val="24"/>
        </w:rPr>
      </w:pPr>
      <w:r>
        <w:fldChar w:fldCharType="begin"/>
      </w:r>
      <w:r>
        <w:instrText xml:space="preserve"> HYPERLINK \l "_Toc66264908" </w:instrText>
      </w:r>
      <w:r>
        <w:fldChar w:fldCharType="separate"/>
      </w:r>
      <w:r>
        <w:rPr>
          <w:rStyle w:val="23"/>
          <w:rFonts w:hint="eastAsia" w:ascii="Times New Roman" w:hAnsi="Times New Roman" w:eastAsia="宋体"/>
          <w:color w:val="auto"/>
          <w:sz w:val="24"/>
        </w:rPr>
        <w:t>第六章</w:t>
      </w:r>
      <w:r>
        <w:rPr>
          <w:rStyle w:val="23"/>
          <w:rFonts w:ascii="Times New Roman" w:hAnsi="Times New Roman" w:eastAsia="宋体"/>
          <w:color w:val="auto"/>
          <w:sz w:val="24"/>
        </w:rPr>
        <w:t xml:space="preserve">  </w:t>
      </w:r>
      <w:r>
        <w:rPr>
          <w:rStyle w:val="23"/>
          <w:rFonts w:hint="eastAsia" w:ascii="Times New Roman" w:hAnsi="Times New Roman" w:eastAsia="宋体"/>
          <w:color w:val="auto"/>
          <w:sz w:val="24"/>
        </w:rPr>
        <w:t>投标文件格式</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_Toc66264908 \h </w:instrText>
      </w:r>
      <w:r>
        <w:rPr>
          <w:rFonts w:ascii="Times New Roman" w:hAnsi="Times New Roman"/>
          <w:sz w:val="24"/>
        </w:rPr>
        <w:fldChar w:fldCharType="separate"/>
      </w:r>
      <w:r>
        <w:rPr>
          <w:rFonts w:ascii="Times New Roman" w:hAnsi="Times New Roman"/>
          <w:sz w:val="24"/>
        </w:rPr>
        <w:t>41</w:t>
      </w:r>
      <w:r>
        <w:rPr>
          <w:rFonts w:ascii="Times New Roman" w:hAnsi="Times New Roman"/>
          <w:sz w:val="24"/>
        </w:rPr>
        <w:fldChar w:fldCharType="end"/>
      </w:r>
      <w:r>
        <w:rPr>
          <w:rFonts w:ascii="Times New Roman" w:hAnsi="Times New Roman"/>
          <w:sz w:val="24"/>
        </w:rPr>
        <w:fldChar w:fldCharType="end"/>
      </w:r>
    </w:p>
    <w:p>
      <w:r>
        <w:fldChar w:fldCharType="end"/>
      </w:r>
    </w:p>
    <w:p>
      <w:pPr>
        <w:spacing w:line="360" w:lineRule="auto"/>
        <w:sectPr>
          <w:footerReference r:id="rId6" w:type="first"/>
          <w:footerReference r:id="rId5" w:type="default"/>
          <w:pgSz w:w="11906" w:h="16838"/>
          <w:pgMar w:top="1559" w:right="1531" w:bottom="471" w:left="1531" w:header="851" w:footer="850" w:gutter="0"/>
          <w:pgNumType w:start="1"/>
          <w:cols w:space="720" w:num="1"/>
          <w:docGrid w:type="lines" w:linePitch="312" w:charSpace="0"/>
        </w:sectPr>
      </w:pPr>
    </w:p>
    <w:p>
      <w:pPr>
        <w:spacing w:line="360" w:lineRule="auto"/>
      </w:pPr>
    </w:p>
    <w:p>
      <w:pPr>
        <w:pStyle w:val="2"/>
        <w:rPr>
          <w:color w:val="auto"/>
        </w:rPr>
      </w:pPr>
      <w:bookmarkStart w:id="1" w:name="_Toc63585241"/>
      <w:bookmarkStart w:id="2" w:name="_Toc66264896"/>
      <w:bookmarkStart w:id="3" w:name="_Toc63585683"/>
      <w:r>
        <w:rPr>
          <w:color w:val="auto"/>
        </w:rPr>
        <w:t>第一章</w:t>
      </w:r>
      <w:r>
        <w:rPr>
          <w:rFonts w:hint="eastAsia"/>
          <w:color w:val="auto"/>
        </w:rPr>
        <w:t xml:space="preserve"> </w:t>
      </w:r>
      <w:r>
        <w:rPr>
          <w:color w:val="auto"/>
        </w:rPr>
        <w:t>招标公告</w:t>
      </w:r>
      <w:bookmarkEnd w:id="1"/>
      <w:bookmarkEnd w:id="2"/>
      <w:bookmarkEnd w:id="3"/>
    </w:p>
    <w:p>
      <w:pPr>
        <w:ind w:firstLine="480" w:firstLineChars="200"/>
        <w:rPr>
          <w:b/>
          <w:bCs/>
        </w:rPr>
      </w:pPr>
      <w:r>
        <w:t>根据《中华人民共和国政府采购法》、《政府采购货物和服务招标投标管理办法》、《浙江省政府采购项目电子交易管理暂行办法》等规定，经杭州市临平区财政局余财确</w:t>
      </w:r>
      <w:r>
        <w:rPr>
          <w:rFonts w:hint="eastAsia"/>
          <w:kern w:val="0"/>
        </w:rPr>
        <w:t>临政采集-2021-00076号</w:t>
      </w:r>
      <w:r>
        <w:t>确认书批准，现就</w:t>
      </w:r>
      <w:r>
        <w:rPr>
          <w:rFonts w:hint="eastAsia"/>
          <w:kern w:val="0"/>
        </w:rPr>
        <w:t>杭州市临平区救助管理和未成年人救助保护中心物业服务采购项目项目</w:t>
      </w:r>
      <w:r>
        <w:t>进行公开招标采购。欢迎符合要求并有能力完成本项目的投标人前来投标。</w:t>
      </w:r>
    </w:p>
    <w:p>
      <w:r>
        <w:rPr>
          <w:b/>
        </w:rPr>
        <w:t>一、项目名称及编号：</w:t>
      </w:r>
      <w:r>
        <w:rPr>
          <w:rFonts w:hint="eastAsia"/>
          <w:b/>
        </w:rPr>
        <w:t>杭州市临平区救助管理和未成年人救助保护中心物业服务采购项目采购项目</w:t>
      </w:r>
      <w:r>
        <w:t>（HZLPZFCG-2021-005）。</w:t>
      </w:r>
    </w:p>
    <w:p>
      <w:pPr>
        <w:rPr>
          <w:b/>
          <w:bCs/>
        </w:rPr>
      </w:pPr>
      <w:r>
        <w:rPr>
          <w:b/>
          <w:bCs/>
        </w:rPr>
        <w:t>二、公告期限：5个工作日</w:t>
      </w:r>
    </w:p>
    <w:p>
      <w:r>
        <w:t>三、</w:t>
      </w:r>
      <w:r>
        <w:rPr>
          <w:b/>
        </w:rPr>
        <w:t>采购组织类型：</w:t>
      </w:r>
      <w:r>
        <w:t>政府集中采购</w:t>
      </w:r>
    </w:p>
    <w:p>
      <w:r>
        <w:rPr>
          <w:b/>
        </w:rPr>
        <w:t>四、采购方式：</w:t>
      </w:r>
      <w:r>
        <w:t>公开招标</w:t>
      </w:r>
    </w:p>
    <w:p>
      <w:pPr>
        <w:rPr>
          <w:b/>
          <w:bCs/>
        </w:rPr>
      </w:pPr>
      <w:r>
        <w:rPr>
          <w:b/>
        </w:rPr>
        <w:t>五、</w:t>
      </w:r>
      <w:r>
        <w:rPr>
          <w:b/>
          <w:bCs/>
        </w:rPr>
        <w:t>采购内容：</w:t>
      </w:r>
    </w:p>
    <w:p>
      <w:pPr>
        <w:ind w:firstLine="480" w:firstLineChars="200"/>
      </w:pPr>
      <w:r>
        <w:t>本项目采购内容为</w:t>
      </w:r>
      <w:r>
        <w:rPr>
          <w:rFonts w:hint="eastAsia"/>
        </w:rPr>
        <w:t>杭州市临平区救助管理和未成年人救助保护中心物业服务采购项目</w:t>
      </w:r>
      <w:r>
        <w:t xml:space="preserve">的采购、培训和相关维护等，具体要求详见本招标文件“第二章 招标需求”。 </w:t>
      </w:r>
    </w:p>
    <w:p>
      <w:pPr>
        <w:ind w:firstLine="482" w:firstLineChars="200"/>
      </w:pPr>
      <w:r>
        <w:rPr>
          <w:b/>
          <w:bCs/>
        </w:rPr>
        <w:t>预算价：</w:t>
      </w:r>
      <w:r>
        <w:rPr>
          <w:rFonts w:hint="eastAsia"/>
          <w:b/>
          <w:bCs/>
        </w:rPr>
        <w:t>2521800元</w:t>
      </w:r>
      <w:r>
        <w:rPr>
          <w:b/>
          <w:bCs/>
        </w:rPr>
        <w:t>。</w:t>
      </w:r>
      <w:r>
        <w:t>投标人投标报价超过预算价，投标视作投标无效。</w:t>
      </w:r>
    </w:p>
    <w:p>
      <w:pPr>
        <w:rPr>
          <w:b/>
          <w:bCs/>
        </w:rPr>
      </w:pPr>
      <w:r>
        <w:rPr>
          <w:rFonts w:hint="eastAsia"/>
          <w:b/>
          <w:bCs/>
        </w:rPr>
        <w:t>六</w:t>
      </w:r>
      <w:r>
        <w:t>、</w:t>
      </w:r>
      <w:r>
        <w:rPr>
          <w:b/>
          <w:bCs/>
        </w:rPr>
        <w:t>合格投标人的资格要求</w:t>
      </w:r>
    </w:p>
    <w:p>
      <w:pPr>
        <w:ind w:firstLine="480" w:firstLineChars="200"/>
      </w:pPr>
      <w:r>
        <w:t>1、符合《中华人民共和国政府采购法》第二十二条供应商应当具备的条件和浙财采监【2013】24号《关于规范政府采购供应商资格设定及资格审查的通知》第六条规定；</w:t>
      </w:r>
    </w:p>
    <w:p>
      <w:pPr>
        <w:ind w:firstLine="480" w:firstLineChars="200"/>
      </w:pPr>
      <w:r>
        <w:t>2、谢绝联合体投标。</w:t>
      </w:r>
    </w:p>
    <w:p>
      <w:pPr>
        <w:rPr>
          <w:b/>
          <w:kern w:val="0"/>
        </w:rPr>
      </w:pPr>
      <w:r>
        <w:rPr>
          <w:rFonts w:hint="eastAsia"/>
          <w:b/>
          <w:kern w:val="0"/>
        </w:rPr>
        <w:t>七</w:t>
      </w:r>
      <w:r>
        <w:rPr>
          <w:b/>
          <w:kern w:val="0"/>
        </w:rPr>
        <w:t>、投标报名</w:t>
      </w:r>
    </w:p>
    <w:p>
      <w:pPr>
        <w:ind w:firstLine="482" w:firstLineChars="200"/>
        <w:rPr>
          <w:b/>
          <w:kern w:val="0"/>
        </w:rPr>
      </w:pPr>
      <w:r>
        <w:rPr>
          <w:b/>
          <w:kern w:val="0"/>
        </w:rPr>
        <w:t>本项目实行网上报名，不接受现场报名。投标截止时间前，供应商自行登录浙江政府采购网（http：//zfcg.czt.zj.gov.cn）进行报名。</w:t>
      </w:r>
    </w:p>
    <w:p>
      <w:pPr>
        <w:rPr>
          <w:b/>
          <w:kern w:val="0"/>
        </w:rPr>
      </w:pPr>
      <w:r>
        <w:rPr>
          <w:b/>
          <w:kern w:val="0"/>
        </w:rPr>
        <w:t>《供应商网上报名操作指南》网址：浙江政府采购网，位置：“首页-办事指南-省采中心-网上报名”（</w:t>
      </w:r>
      <w:r>
        <w:fldChar w:fldCharType="begin"/>
      </w:r>
      <w:r>
        <w:instrText xml:space="preserve"> HYPERLINK "http://zfcg.czt.zj.gov.cn/bs_other/2018-03-30/12002.html?_=2020-07-08%2003:01:22" </w:instrText>
      </w:r>
      <w:r>
        <w:fldChar w:fldCharType="separate"/>
      </w:r>
      <w:r>
        <w:rPr>
          <w:b/>
          <w:kern w:val="0"/>
        </w:rPr>
        <w:t>http：//zfcg.czt.zj.gov.cn/bs_other/2018-03-30/12002.html?_</w:t>
      </w:r>
      <w:r>
        <w:rPr>
          <w:rFonts w:hint="eastAsia"/>
          <w:b/>
          <w:kern w:val="0"/>
        </w:rPr>
        <w:t xml:space="preserve"> </w:t>
      </w:r>
      <w:r>
        <w:rPr>
          <w:b/>
          <w:kern w:val="0"/>
        </w:rPr>
        <w:t>=2020-07-08%2003：01：22</w:t>
      </w:r>
      <w:r>
        <w:rPr>
          <w:b/>
          <w:kern w:val="0"/>
        </w:rPr>
        <w:fldChar w:fldCharType="end"/>
      </w:r>
      <w:r>
        <w:rPr>
          <w:b/>
          <w:kern w:val="0"/>
        </w:rPr>
        <w:t>）。</w:t>
      </w:r>
    </w:p>
    <w:p>
      <w:pPr>
        <w:ind w:firstLine="482" w:firstLineChars="200"/>
      </w:pPr>
      <w:r>
        <w:rPr>
          <w:b/>
          <w:bCs/>
        </w:rPr>
        <w:t>报名与招标文件的获取</w:t>
      </w:r>
      <w:r>
        <w:t>：</w:t>
      </w:r>
    </w:p>
    <w:p>
      <w:pPr>
        <w:ind w:firstLine="482" w:firstLineChars="200"/>
      </w:pPr>
      <w:r>
        <w:rPr>
          <w:b/>
          <w:bCs/>
        </w:rPr>
        <w:t>1、报名与获取招标文件时间：</w:t>
      </w:r>
    </w:p>
    <w:p>
      <w:pPr>
        <w:ind w:firstLine="482" w:firstLineChars="200"/>
      </w:pPr>
      <w:r>
        <w:rPr>
          <w:b/>
          <w:bCs/>
          <w:u w:val="thick"/>
        </w:rPr>
        <w:t>202</w:t>
      </w:r>
      <w:r>
        <w:rPr>
          <w:rFonts w:hint="eastAsia"/>
          <w:b/>
          <w:bCs/>
          <w:u w:val="thick"/>
        </w:rPr>
        <w:t>1</w:t>
      </w:r>
      <w:r>
        <w:rPr>
          <w:b/>
          <w:bCs/>
          <w:u w:val="thick"/>
        </w:rPr>
        <w:t>年</w:t>
      </w:r>
      <w:r>
        <w:rPr>
          <w:rFonts w:hint="eastAsia"/>
          <w:b/>
          <w:bCs/>
          <w:u w:val="thick"/>
        </w:rPr>
        <w:t>8</w:t>
      </w:r>
      <w:r>
        <w:rPr>
          <w:b/>
          <w:bCs/>
          <w:u w:val="thick"/>
        </w:rPr>
        <w:t>月</w:t>
      </w:r>
      <w:r>
        <w:rPr>
          <w:rFonts w:hint="eastAsia"/>
          <w:b/>
          <w:bCs/>
          <w:u w:val="thick"/>
        </w:rPr>
        <w:t>10</w:t>
      </w:r>
      <w:r>
        <w:rPr>
          <w:b/>
          <w:bCs/>
          <w:u w:val="thick"/>
        </w:rPr>
        <w:t>日至202</w:t>
      </w:r>
      <w:r>
        <w:rPr>
          <w:rFonts w:hint="eastAsia"/>
          <w:b/>
          <w:bCs/>
          <w:u w:val="thick"/>
        </w:rPr>
        <w:t>1</w:t>
      </w:r>
      <w:r>
        <w:rPr>
          <w:b/>
          <w:bCs/>
          <w:u w:val="thick"/>
        </w:rPr>
        <w:t>年</w:t>
      </w:r>
      <w:r>
        <w:rPr>
          <w:rFonts w:hint="eastAsia"/>
          <w:b/>
          <w:bCs/>
          <w:u w:val="thick"/>
        </w:rPr>
        <w:t>8</w:t>
      </w:r>
      <w:r>
        <w:rPr>
          <w:b/>
          <w:bCs/>
          <w:u w:val="thick"/>
        </w:rPr>
        <w:t>月</w:t>
      </w:r>
      <w:r>
        <w:rPr>
          <w:rFonts w:hint="eastAsia"/>
          <w:b/>
          <w:bCs/>
          <w:u w:val="thick"/>
        </w:rPr>
        <w:t>16</w:t>
      </w:r>
      <w:r>
        <w:rPr>
          <w:b/>
          <w:bCs/>
          <w:u w:val="thick"/>
        </w:rPr>
        <w:t>日</w:t>
      </w:r>
      <w:r>
        <w:t>（双休日及法定节假日除外）</w:t>
      </w:r>
    </w:p>
    <w:p>
      <w:pPr>
        <w:ind w:firstLine="480" w:firstLineChars="200"/>
      </w:pPr>
      <w:r>
        <w:t>时间：上午：8：30-12：00，下午：13：00-16：30</w:t>
      </w:r>
    </w:p>
    <w:p>
      <w:pPr>
        <w:ind w:firstLine="482" w:firstLineChars="200"/>
        <w:rPr>
          <w:b/>
          <w:bCs/>
        </w:rPr>
      </w:pPr>
      <w:r>
        <w:rPr>
          <w:b/>
          <w:bCs/>
        </w:rPr>
        <w:fldChar w:fldCharType="begin"/>
      </w:r>
      <w:r>
        <w:rPr>
          <w:b/>
          <w:bCs/>
        </w:rPr>
        <w:instrText xml:space="preserve"> = 1 \* GB3 \* MERGEFORMAT </w:instrText>
      </w:r>
      <w:r>
        <w:rPr>
          <w:b/>
          <w:bCs/>
        </w:rPr>
        <w:fldChar w:fldCharType="separate"/>
      </w:r>
      <w:r>
        <w:rPr>
          <w:rFonts w:hint="eastAsia" w:ascii="宋体" w:hAnsi="宋体" w:cs="宋体"/>
          <w:b/>
          <w:bCs/>
        </w:rPr>
        <w:t>①</w:t>
      </w:r>
      <w:r>
        <w:rPr>
          <w:b/>
          <w:bCs/>
        </w:rPr>
        <w:fldChar w:fldCharType="end"/>
      </w:r>
      <w:r>
        <w:rPr>
          <w:b/>
          <w:bCs/>
        </w:rPr>
        <w:t>如投标人为联合体（如果项目允许联合体投标），则由联合体主办方在政采云进行报名并按要求提供联合体投标文件。联合体其他方不得再提交投标文件，否则视作联合体各方投标无效。</w:t>
      </w:r>
    </w:p>
    <w:p>
      <w:pPr>
        <w:ind w:firstLine="480" w:firstLineChars="200"/>
      </w:pPr>
      <w:r>
        <w:fldChar w:fldCharType="begin"/>
      </w:r>
      <w:r>
        <w:instrText xml:space="preserve"> = 2 \* GB3 \* MERGEFORMAT </w:instrText>
      </w:r>
      <w:r>
        <w:fldChar w:fldCharType="separate"/>
      </w:r>
      <w:r>
        <w:rPr>
          <w:rFonts w:hint="eastAsia" w:ascii="宋体" w:hAnsi="宋体" w:cs="宋体"/>
        </w:rPr>
        <w:t>②</w:t>
      </w:r>
      <w:r>
        <w:fldChar w:fldCharType="end"/>
      </w:r>
      <w:r>
        <w:t>获取招标文件的时间期限截止之日之后有潜在供应商提出获取招标文件的，采购机构将允许其获取，但该供应商如对招标文件有异议的，应自招标文件获取期限届满之日起七个工作日内且在投标截止时间之前以书面形式向采购机构提出。</w:t>
      </w:r>
    </w:p>
    <w:p>
      <w:pPr>
        <w:ind w:firstLine="482" w:firstLineChars="200"/>
        <w:rPr>
          <w:b/>
          <w:bCs/>
        </w:rPr>
      </w:pPr>
      <w:r>
        <w:rPr>
          <w:b/>
          <w:bCs/>
        </w:rPr>
        <w:t>2、获取网址</w:t>
      </w:r>
    </w:p>
    <w:p>
      <w:pPr>
        <w:ind w:firstLine="480" w:firstLineChars="200"/>
      </w:pPr>
      <w:r>
        <w:t>浙江政府采购网（</w:t>
      </w:r>
      <w:r>
        <w:fldChar w:fldCharType="begin"/>
      </w:r>
      <w:r>
        <w:instrText xml:space="preserve"> HYPERLINK "http://www.zjzfcg.gov.cn/" </w:instrText>
      </w:r>
      <w:r>
        <w:fldChar w:fldCharType="separate"/>
      </w:r>
      <w:r>
        <w:t>http：//zfcg.czt.zj.gov.cn</w:t>
      </w:r>
      <w:r>
        <w:fldChar w:fldCharType="end"/>
      </w:r>
      <w:r>
        <w:t>）</w:t>
      </w:r>
    </w:p>
    <w:p>
      <w:pPr>
        <w:ind w:firstLine="480" w:firstLineChars="200"/>
      </w:pPr>
      <w:r>
        <w:t>杭州余杭政府门户网站（</w:t>
      </w:r>
      <w:r>
        <w:fldChar w:fldCharType="begin"/>
      </w:r>
      <w:r>
        <w:instrText xml:space="preserve"> HYPERLINK "http://www.yuhang.gov.cn/" </w:instrText>
      </w:r>
      <w:r>
        <w:fldChar w:fldCharType="separate"/>
      </w:r>
      <w:r>
        <w:t>http：//www.yuhang.gov.cn</w:t>
      </w:r>
      <w:r>
        <w:fldChar w:fldCharType="end"/>
      </w:r>
      <w:r>
        <w:t>）</w:t>
      </w:r>
    </w:p>
    <w:p>
      <w:pPr>
        <w:ind w:firstLine="482" w:firstLineChars="200"/>
        <w:rPr>
          <w:b/>
          <w:kern w:val="0"/>
        </w:rPr>
      </w:pPr>
      <w:r>
        <w:rPr>
          <w:b/>
        </w:rPr>
        <w:t>（注：</w:t>
      </w:r>
      <w:r>
        <w:rPr>
          <w:b/>
        </w:rPr>
        <w:fldChar w:fldCharType="begin"/>
      </w:r>
      <w:r>
        <w:rPr>
          <w:b/>
        </w:rPr>
        <w:instrText xml:space="preserve"> = 1 \* GB3 </w:instrText>
      </w:r>
      <w:r>
        <w:rPr>
          <w:b/>
        </w:rPr>
        <w:fldChar w:fldCharType="separate"/>
      </w:r>
      <w:r>
        <w:rPr>
          <w:rFonts w:hint="eastAsia" w:ascii="宋体" w:hAnsi="宋体" w:cs="宋体"/>
          <w:b/>
        </w:rPr>
        <w:t>①</w:t>
      </w:r>
      <w:r>
        <w:rPr>
          <w:b/>
        </w:rPr>
        <w:fldChar w:fldCharType="end"/>
      </w:r>
      <w:r>
        <w:rPr>
          <w:bCs/>
        </w:rPr>
        <w:t>采购公告上附件里的采购文件仅供阅览使用，报名成功后才视作供应商依法获取采购文件，未进行报名的供应商，对采购文件提起的质疑，将不予受理。</w:t>
      </w:r>
      <w:r>
        <w:rPr>
          <w:b/>
        </w:rPr>
        <w:fldChar w:fldCharType="begin"/>
      </w:r>
      <w:r>
        <w:rPr>
          <w:b/>
        </w:rPr>
        <w:instrText xml:space="preserve"> = 2 \* GB3 </w:instrText>
      </w:r>
      <w:r>
        <w:rPr>
          <w:b/>
        </w:rPr>
        <w:fldChar w:fldCharType="separate"/>
      </w:r>
      <w:r>
        <w:rPr>
          <w:rFonts w:hint="eastAsia" w:ascii="宋体" w:hAnsi="宋体" w:cs="宋体"/>
          <w:b/>
        </w:rPr>
        <w:t>②</w:t>
      </w:r>
      <w:r>
        <w:rPr>
          <w:b/>
        </w:rPr>
        <w:fldChar w:fldCharType="end"/>
      </w:r>
      <w:r>
        <w:t>澄清、修改等更正补充公告将在浙江政府采购网、杭州余杭政府门户网站公布。</w:t>
      </w:r>
      <w:r>
        <w:rPr>
          <w:b/>
        </w:rPr>
        <w:t>）</w:t>
      </w:r>
    </w:p>
    <w:p>
      <w:r>
        <w:rPr>
          <w:rFonts w:hint="eastAsia"/>
          <w:b/>
          <w:bCs/>
        </w:rPr>
        <w:t>八</w:t>
      </w:r>
      <w:r>
        <w:rPr>
          <w:b/>
          <w:bCs/>
        </w:rPr>
        <w:t>、投标保证金</w:t>
      </w:r>
      <w:r>
        <w:t>：本项目无需交纳投标保证金。</w:t>
      </w:r>
    </w:p>
    <w:p>
      <w:pPr>
        <w:rPr>
          <w:b/>
        </w:rPr>
      </w:pPr>
      <w:r>
        <w:rPr>
          <w:rFonts w:hint="eastAsia"/>
          <w:b/>
        </w:rPr>
        <w:t>九</w:t>
      </w:r>
      <w:r>
        <w:rPr>
          <w:b/>
        </w:rPr>
        <w:t>、投标说明</w:t>
      </w:r>
    </w:p>
    <w:p>
      <w:pPr>
        <w:ind w:firstLine="482" w:firstLineChars="200"/>
        <w:rPr>
          <w:b/>
          <w:kern w:val="0"/>
        </w:rPr>
      </w:pPr>
      <w:r>
        <w:rPr>
          <w:b/>
          <w:kern w:val="0"/>
        </w:rPr>
        <w:t>1</w:t>
      </w:r>
      <w:r>
        <w:rPr>
          <w:rFonts w:hint="eastAsia"/>
          <w:b/>
          <w:kern w:val="0"/>
        </w:rPr>
        <w:t>、</w:t>
      </w:r>
      <w:r>
        <w:rPr>
          <w:b/>
          <w:kern w:val="0"/>
        </w:rPr>
        <w:t>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ind w:firstLine="482" w:firstLineChars="200"/>
        <w:rPr>
          <w:b/>
          <w:kern w:val="0"/>
        </w:rPr>
      </w:pPr>
      <w:r>
        <w:rPr>
          <w:b/>
          <w:kern w:val="0"/>
        </w:rPr>
        <w:t>2</w:t>
      </w:r>
      <w:r>
        <w:rPr>
          <w:rFonts w:hint="eastAsia"/>
          <w:b/>
          <w:kern w:val="0"/>
        </w:rPr>
        <w:t>、</w:t>
      </w:r>
      <w:r>
        <w:rPr>
          <w:b/>
          <w:kern w:val="0"/>
        </w:rPr>
        <w:t>投标人应在开标前完成CA数字证书办理。（办理流程详见</w:t>
      </w:r>
      <w:r>
        <w:fldChar w:fldCharType="begin"/>
      </w:r>
      <w:r>
        <w:instrText xml:space="preserve"> HYPERLINK "http://zfcg.czt.zj.gov.cn/bidClientTemplate/2019-05-27/12945.html" </w:instrText>
      </w:r>
      <w:r>
        <w:fldChar w:fldCharType="separate"/>
      </w:r>
      <w:r>
        <w:rPr>
          <w:b/>
          <w:kern w:val="0"/>
        </w:rPr>
        <w:t>http：//zfcg.czt.zj.gov.cn/bidClientTemplate/2019-05-27/12945.html</w:t>
      </w:r>
      <w:r>
        <w:rPr>
          <w:b/>
          <w:kern w:val="0"/>
        </w:rPr>
        <w:fldChar w:fldCharType="end"/>
      </w:r>
      <w:r>
        <w:rPr>
          <w:b/>
          <w:kern w:val="0"/>
        </w:rPr>
        <w:t>）。完成CA数字证书办理预计一周左右，建议各投标人抓紧时间办理。</w:t>
      </w:r>
    </w:p>
    <w:p>
      <w:pPr>
        <w:ind w:firstLine="482" w:firstLineChars="200"/>
        <w:rPr>
          <w:b/>
          <w:kern w:val="0"/>
        </w:rPr>
      </w:pPr>
      <w:r>
        <w:rPr>
          <w:b/>
          <w:kern w:val="0"/>
        </w:rPr>
        <w:t>3</w:t>
      </w:r>
      <w:r>
        <w:rPr>
          <w:rFonts w:hint="eastAsia"/>
          <w:b/>
          <w:kern w:val="0"/>
        </w:rPr>
        <w:t>、</w:t>
      </w:r>
      <w:r>
        <w:rPr>
          <w:b/>
          <w:kern w:val="0"/>
        </w:rPr>
        <w:t>投标人通过“政采云”平台电子投标工具制作投标文件，电子投标工具请供应商自行前往浙江省政府采购网下载并安装，（下载网址：</w:t>
      </w:r>
      <w:r>
        <w:fldChar w:fldCharType="begin"/>
      </w:r>
      <w:r>
        <w:instrText xml:space="preserve"> HYPERLINK "http://zfcg.czt.zj.gov.cn/bidClientTemplate/2019-05-27/12945.html" </w:instrText>
      </w:r>
      <w:r>
        <w:fldChar w:fldCharType="separate"/>
      </w:r>
      <w:r>
        <w:rPr>
          <w:b/>
          <w:kern w:val="0"/>
        </w:rPr>
        <w:t>http：//zfcg.czt.zj.gov.cn/bidClientTemplate/2019-05-27/12945.html</w:t>
      </w:r>
      <w:r>
        <w:rPr>
          <w:b/>
          <w:kern w:val="0"/>
        </w:rPr>
        <w:fldChar w:fldCharType="end"/>
      </w:r>
      <w:r>
        <w:rPr>
          <w:b/>
          <w:kern w:val="0"/>
        </w:rPr>
        <w:t>）。</w:t>
      </w:r>
    </w:p>
    <w:p>
      <w:pPr>
        <w:rPr>
          <w:b/>
          <w:kern w:val="0"/>
        </w:rPr>
      </w:pPr>
      <w:r>
        <w:rPr>
          <w:b/>
          <w:kern w:val="0"/>
        </w:rPr>
        <w:t>十、投标截止时间、地点及要求</w:t>
      </w:r>
    </w:p>
    <w:p>
      <w:pPr>
        <w:ind w:firstLine="480" w:firstLineChars="200"/>
        <w:rPr>
          <w:kern w:val="0"/>
        </w:rPr>
      </w:pPr>
      <w:r>
        <w:rPr>
          <w:kern w:val="0"/>
        </w:rPr>
        <w:t>本项目于</w:t>
      </w:r>
      <w:r>
        <w:rPr>
          <w:b/>
          <w:kern w:val="0"/>
        </w:rPr>
        <w:t>202</w:t>
      </w:r>
      <w:r>
        <w:rPr>
          <w:rFonts w:hint="eastAsia"/>
          <w:b/>
          <w:kern w:val="0"/>
        </w:rPr>
        <w:t>1</w:t>
      </w:r>
      <w:r>
        <w:rPr>
          <w:b/>
          <w:kern w:val="0"/>
        </w:rPr>
        <w:t>年</w:t>
      </w:r>
      <w:r>
        <w:rPr>
          <w:rFonts w:hint="eastAsia"/>
          <w:b/>
          <w:kern w:val="0"/>
        </w:rPr>
        <w:t>8</w:t>
      </w:r>
      <w:r>
        <w:rPr>
          <w:b/>
          <w:kern w:val="0"/>
        </w:rPr>
        <w:t>月</w:t>
      </w:r>
      <w:r>
        <w:rPr>
          <w:rFonts w:hint="eastAsia"/>
          <w:b/>
          <w:kern w:val="0"/>
        </w:rPr>
        <w:t>31</w:t>
      </w:r>
      <w:r>
        <w:rPr>
          <w:b/>
          <w:kern w:val="0"/>
        </w:rPr>
        <w:t>日</w:t>
      </w:r>
      <w:r>
        <w:rPr>
          <w:rFonts w:hint="eastAsia"/>
          <w:b/>
          <w:kern w:val="0"/>
        </w:rPr>
        <w:t xml:space="preserve">9:00 </w:t>
      </w:r>
      <w:r>
        <w:rPr>
          <w:kern w:val="0"/>
        </w:rPr>
        <w:t>投标截止。</w:t>
      </w:r>
    </w:p>
    <w:p>
      <w:pPr>
        <w:ind w:firstLine="480" w:firstLineChars="200"/>
        <w:rPr>
          <w:kern w:val="0"/>
        </w:rPr>
      </w:pPr>
      <w:r>
        <w:rPr>
          <w:kern w:val="0"/>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ind w:firstLine="480" w:firstLineChars="200"/>
        <w:rPr>
          <w:kern w:val="0"/>
        </w:rPr>
      </w:pPr>
      <w:r>
        <w:rPr>
          <w:kern w:val="0"/>
        </w:rPr>
        <w:t>投标人</w:t>
      </w:r>
      <w:r>
        <w:rPr>
          <w:rFonts w:hint="eastAsia"/>
          <w:kern w:val="0"/>
        </w:rPr>
        <w:t>递交备份文件，</w:t>
      </w:r>
      <w:r>
        <w:rPr>
          <w:kern w:val="0"/>
        </w:rPr>
        <w:t>应当在投标截止时间前半小时内将以介质存储的数据电文形式的备份投标文件密封送交到</w:t>
      </w:r>
      <w:r>
        <w:rPr>
          <w:b/>
          <w:bCs/>
        </w:rPr>
        <w:t>杭州市公共资源交易中心临平分中心（</w:t>
      </w:r>
      <w:r>
        <w:t>杭州市临平</w:t>
      </w:r>
      <w:r>
        <w:rPr>
          <w:rFonts w:hint="eastAsia"/>
        </w:rPr>
        <w:t>区</w:t>
      </w:r>
      <w:r>
        <w:t>南大街265号市民之家三楼）</w:t>
      </w:r>
      <w:r>
        <w:rPr>
          <w:rFonts w:hint="eastAsia"/>
          <w:b/>
          <w:kern w:val="0"/>
          <w:u w:val="single"/>
        </w:rPr>
        <w:t>3</w:t>
      </w:r>
      <w:r>
        <w:rPr>
          <w:b/>
          <w:kern w:val="0"/>
        </w:rPr>
        <w:t xml:space="preserve"> 号开标室</w:t>
      </w:r>
      <w:r>
        <w:rPr>
          <w:kern w:val="0"/>
        </w:rPr>
        <w:t>，逾期送达或未密封将被拒收。</w:t>
      </w:r>
    </w:p>
    <w:p>
      <w:pPr>
        <w:rPr>
          <w:b/>
        </w:rPr>
      </w:pPr>
      <w:r>
        <w:rPr>
          <w:rFonts w:hint="eastAsia"/>
          <w:b/>
        </w:rPr>
        <w:t>十一、开标时间及地点：</w:t>
      </w:r>
    </w:p>
    <w:p>
      <w:pPr>
        <w:ind w:left="120" w:leftChars="50" w:firstLine="360" w:firstLineChars="150"/>
      </w:pPr>
      <w:r>
        <w:rPr>
          <w:rFonts w:hint="eastAsia"/>
        </w:rPr>
        <w:t>本次招标将于2021年8月31日9时00分在杭州市公共资源交易中心临平分中心3号开标室开标，投标代表携带本人有效身份证明，授权委托人还需按要求提供授权委托书出席开标会议。</w:t>
      </w:r>
    </w:p>
    <w:p>
      <w:pPr>
        <w:rPr>
          <w:b/>
          <w:bCs/>
        </w:rPr>
      </w:pPr>
      <w:r>
        <w:rPr>
          <w:b/>
        </w:rPr>
        <w:t>十</w:t>
      </w:r>
      <w:r>
        <w:rPr>
          <w:rFonts w:hint="eastAsia"/>
          <w:b/>
        </w:rPr>
        <w:t>二</w:t>
      </w:r>
      <w:r>
        <w:rPr>
          <w:b/>
        </w:rPr>
        <w:t>、</w:t>
      </w:r>
      <w:r>
        <w:rPr>
          <w:b/>
          <w:bCs/>
        </w:rPr>
        <w:t>联系方式：</w:t>
      </w:r>
    </w:p>
    <w:p>
      <w:pPr>
        <w:ind w:firstLine="480"/>
      </w:pPr>
      <w:r>
        <w:rPr>
          <w:rFonts w:hint="eastAsia"/>
        </w:rPr>
        <w:t>1、</w:t>
      </w:r>
      <w:r>
        <w:t>采购人</w:t>
      </w:r>
    </w:p>
    <w:p>
      <w:pPr>
        <w:ind w:firstLine="480"/>
      </w:pPr>
      <w:r>
        <w:rPr>
          <w:rFonts w:hint="eastAsia"/>
        </w:rPr>
        <w:t>采购人名称：</w:t>
      </w:r>
      <w:r>
        <w:rPr>
          <w:rFonts w:hint="eastAsia"/>
          <w:color w:val="000000"/>
          <w:kern w:val="0"/>
        </w:rPr>
        <w:t>杭州市临平区救助管理和未成年人救助保护中心</w:t>
      </w:r>
    </w:p>
    <w:p>
      <w:pPr>
        <w:ind w:firstLine="480"/>
      </w:pPr>
      <w:r>
        <w:rPr>
          <w:rFonts w:hint="eastAsia"/>
        </w:rPr>
        <w:t>地址：</w:t>
      </w:r>
      <w:r>
        <w:rPr>
          <w:rFonts w:hint="eastAsia"/>
          <w:color w:val="000000"/>
          <w:kern w:val="0"/>
        </w:rPr>
        <w:t>临平区运河街道东湖北路570号救助管理和未成年人救助保护中心</w:t>
      </w:r>
    </w:p>
    <w:p>
      <w:pPr>
        <w:ind w:firstLine="480"/>
      </w:pPr>
      <w:r>
        <w:rPr>
          <w:rFonts w:hint="eastAsia"/>
        </w:rPr>
        <w:t>项目联系人姓名：</w:t>
      </w:r>
      <w:r>
        <w:rPr>
          <w:color w:val="000000"/>
          <w:kern w:val="0"/>
        </w:rPr>
        <w:t>夏慧利</w:t>
      </w:r>
      <w:r>
        <w:rPr>
          <w:rFonts w:hint="eastAsia"/>
        </w:rPr>
        <w:t>，电话：</w:t>
      </w:r>
      <w:r>
        <w:rPr>
          <w:color w:val="000000"/>
          <w:kern w:val="0"/>
        </w:rPr>
        <w:t>0571-89189886</w:t>
      </w:r>
    </w:p>
    <w:p>
      <w:pPr>
        <w:ind w:firstLine="480"/>
      </w:pPr>
      <w:r>
        <w:rPr>
          <w:rFonts w:hint="eastAsia"/>
        </w:rPr>
        <w:t>质疑（接收及回复）受理联系人姓名：</w:t>
      </w:r>
      <w:r>
        <w:rPr>
          <w:kern w:val="0"/>
        </w:rPr>
        <w:t>俞昊</w:t>
      </w:r>
      <w:r>
        <w:rPr>
          <w:rFonts w:hint="eastAsia"/>
        </w:rPr>
        <w:t>，电话：</w:t>
      </w:r>
      <w:r>
        <w:t>0571-89189885</w:t>
      </w:r>
    </w:p>
    <w:p>
      <w:pPr>
        <w:ind w:firstLine="480"/>
      </w:pPr>
      <w:r>
        <w:rPr>
          <w:rFonts w:hint="eastAsia"/>
        </w:rPr>
        <w:t>2、采购代理机构</w:t>
      </w:r>
    </w:p>
    <w:p>
      <w:pPr>
        <w:ind w:firstLine="480"/>
      </w:pPr>
      <w:r>
        <w:rPr>
          <w:rFonts w:hint="eastAsia"/>
        </w:rPr>
        <w:t xml:space="preserve">采购代理机构名称：杭州市公共资源交易中心临平分中心         </w:t>
      </w:r>
    </w:p>
    <w:p>
      <w:pPr>
        <w:ind w:firstLine="480"/>
      </w:pPr>
      <w:r>
        <w:rPr>
          <w:rFonts w:hint="eastAsia"/>
        </w:rPr>
        <w:t xml:space="preserve">地址：杭州市临平区南大街265号市民之家三楼           </w:t>
      </w:r>
    </w:p>
    <w:p>
      <w:pPr>
        <w:ind w:firstLine="480"/>
      </w:pPr>
      <w:r>
        <w:rPr>
          <w:rFonts w:hint="eastAsia"/>
        </w:rPr>
        <w:t>项目联系人姓名：包梦婕，电话：0571-86164927 ，传真：0571-86152006</w:t>
      </w:r>
    </w:p>
    <w:p>
      <w:pPr>
        <w:ind w:firstLine="480"/>
      </w:pPr>
      <w:r>
        <w:rPr>
          <w:rFonts w:hint="eastAsia"/>
        </w:rPr>
        <w:t>质疑（接收及回复）受理联系人姓名：张玲燕，电话：0571-89360806</w:t>
      </w:r>
    </w:p>
    <w:p>
      <w:pPr>
        <w:ind w:firstLine="480"/>
      </w:pPr>
      <w:r>
        <w:rPr>
          <w:rFonts w:hint="eastAsia"/>
        </w:rPr>
        <w:t>3、同级政府采购监督管理部门</w:t>
      </w:r>
    </w:p>
    <w:p>
      <w:pPr>
        <w:ind w:firstLine="480"/>
      </w:pPr>
      <w:r>
        <w:rPr>
          <w:rFonts w:hint="eastAsia"/>
        </w:rPr>
        <w:t>同级政府采购监督管理部门：杭州市临平区财政局</w:t>
      </w:r>
    </w:p>
    <w:p>
      <w:pPr>
        <w:ind w:firstLine="480"/>
      </w:pPr>
      <w:r>
        <w:rPr>
          <w:rFonts w:hint="eastAsia"/>
        </w:rPr>
        <w:t>地址：杭州市临平区东湖中路236号余杭财税大楼</w:t>
      </w:r>
    </w:p>
    <w:p>
      <w:pPr>
        <w:ind w:firstLine="480"/>
      </w:pPr>
      <w:r>
        <w:rPr>
          <w:rFonts w:hint="eastAsia"/>
        </w:rPr>
        <w:t>联系人：江引妹，联系电话：0571-89180113，传真：0571-89180113</w:t>
      </w:r>
    </w:p>
    <w:p>
      <w:r>
        <w:br w:type="page"/>
      </w:r>
    </w:p>
    <w:p>
      <w:pPr>
        <w:pStyle w:val="2"/>
        <w:rPr>
          <w:color w:val="auto"/>
        </w:rPr>
      </w:pPr>
      <w:r>
        <w:rPr>
          <w:color w:val="auto"/>
        </w:rPr>
        <w:t xml:space="preserve">  </w:t>
      </w:r>
      <w:bookmarkStart w:id="4" w:name="_Toc66264897"/>
      <w:bookmarkStart w:id="5" w:name="_Toc63585242"/>
      <w:bookmarkStart w:id="6" w:name="_Toc63585684"/>
      <w:r>
        <w:rPr>
          <w:color w:val="auto"/>
        </w:rPr>
        <w:t>第二章</w:t>
      </w:r>
      <w:r>
        <w:rPr>
          <w:rFonts w:hint="eastAsia"/>
          <w:color w:val="auto"/>
        </w:rPr>
        <w:t xml:space="preserve"> </w:t>
      </w:r>
      <w:r>
        <w:rPr>
          <w:color w:val="auto"/>
        </w:rPr>
        <w:t>招标需求</w:t>
      </w:r>
      <w:bookmarkEnd w:id="4"/>
      <w:bookmarkEnd w:id="5"/>
      <w:bookmarkEnd w:id="6"/>
    </w:p>
    <w:p>
      <w:pPr>
        <w:rPr>
          <w:b/>
          <w:bCs/>
        </w:rPr>
      </w:pPr>
      <w:r>
        <w:rPr>
          <w:b/>
          <w:bCs/>
        </w:rPr>
        <w:t>一、项目概述：</w:t>
      </w:r>
    </w:p>
    <w:p>
      <w:pPr>
        <w:ind w:firstLine="480" w:firstLineChars="200"/>
      </w:pPr>
      <w:r>
        <w:t>本项目为“</w:t>
      </w:r>
      <w:r>
        <w:rPr>
          <w:color w:val="333333"/>
          <w:shd w:val="clear" w:color="auto" w:fill="FFFFFF"/>
        </w:rPr>
        <w:t>杭州市临平区救助管理和未成年人救助保护中心物业管理服务项目</w:t>
      </w:r>
      <w:r>
        <w:t>”项目，采购内容包括</w:t>
      </w:r>
      <w:r>
        <w:rPr>
          <w:color w:val="333333"/>
          <w:shd w:val="clear" w:color="auto" w:fill="FFFFFF"/>
        </w:rPr>
        <w:t>杭州市临平区救助管理和未成年人救助保护中心</w:t>
      </w:r>
      <w:r>
        <w:t>的设备维修，食堂运营，绿化护养和安全管理、质保期内的售后服务等。投标报价包括</w:t>
      </w:r>
      <w:r>
        <w:rPr>
          <w:rFonts w:hint="eastAsia"/>
        </w:rPr>
        <w:t>服务要求中提到的各项服务产生的费用、</w:t>
      </w:r>
      <w:r>
        <w:t>保洁用品等</w:t>
      </w:r>
      <w:r>
        <w:rPr>
          <w:rFonts w:hint="eastAsia"/>
        </w:rPr>
        <w:t>产生的</w:t>
      </w:r>
      <w:r>
        <w:t>费用</w:t>
      </w:r>
      <w:r>
        <w:rPr>
          <w:rFonts w:hint="eastAsia"/>
        </w:rPr>
        <w:t>、</w:t>
      </w:r>
      <w:r>
        <w:t>售后服务费、培训费、有关部门的验收费、政策性文件规定及合同包含的所有风险、责任等各项全部费用。</w:t>
      </w:r>
    </w:p>
    <w:p>
      <w:pPr>
        <w:ind w:firstLine="480" w:firstLineChars="200"/>
      </w:pPr>
      <w:r>
        <w:rPr>
          <w:bCs/>
          <w:color w:val="000000"/>
        </w:rPr>
        <w:t>列入本次采购的物业管理内容包含孤残儿童福利院及救助站的房屋日常管理与土建维修养护、综合食堂日常运营管理、共用设备管理与维修养护（含供电系统、给排水系统、电梯系统、空调系统、弱电系统、消防监控系统等）、安全保卫、环境卫生管理、绿化（室外养护、室内摆放）管理、配合采购单位做好疫情防控工作等及采购单位交办的其他工作。垃圾清运费、垃圾袋、大卷卫生纸、洗手液、办公室的保洁工具、日常各类维修（人民币800元内）全部纳入物业管理费中。大型主要材料配件、会议摆花、节日及临时性活动的花卉绿化装饰由采购人承担，但须书面报采购人批准后方可执行。</w:t>
      </w:r>
    </w:p>
    <w:p>
      <w:pPr>
        <w:ind w:firstLine="480" w:firstLineChars="200"/>
        <w:rPr>
          <w:bCs/>
          <w:color w:val="000000"/>
        </w:rPr>
      </w:pPr>
      <w:r>
        <w:rPr>
          <w:bCs/>
          <w:color w:val="000000"/>
        </w:rPr>
        <w:t>本项目地块内，总建筑面积13827平方米，总床位数200张。其中：福利中心（孤儿院）包含3层的围合建筑，3层的福利中心配套楼（半围合建筑）及一幢2层的综合食堂，合计建筑面积约8300平方米，规划孤残儿童床位数100张。救助站含4层的围合建筑，建筑面积约5527平方米，100张床位。</w:t>
      </w:r>
    </w:p>
    <w:p>
      <w:pPr>
        <w:ind w:firstLine="480" w:firstLineChars="200"/>
        <w:rPr>
          <w:bCs/>
          <w:color w:val="000000"/>
        </w:rPr>
      </w:pPr>
      <w:r>
        <w:rPr>
          <w:bCs/>
          <w:color w:val="000000"/>
        </w:rPr>
        <w:t>未成年人救助保护中心区块有大型会议室1间，98平方米，可容纳100人；小型会议室2间，每间49平方米，每间可容纳50人。社会救助管理区块有会议室1间，面积约40平方米。福利中心及救助站有5匹空调23台，3匹空调18台2匹空调41台，1、5匹空调14台；总弱电房3间，机房3间，监控系统2套，消防系统1套，消防给水1路，湿式系统2套，消防栓63个，灭火器126个，给水装置21路，排水系统2套，总配电房1间分支12间强电室，一卡通门禁系统2套，空气能热水器4台，大小油烟系统1套，客梯4台，货梯1台，餐梯1台。</w:t>
      </w:r>
    </w:p>
    <w:p>
      <w:pPr>
        <w:spacing w:line="360" w:lineRule="auto"/>
        <w:ind w:firstLine="482" w:firstLineChars="200"/>
        <w:rPr>
          <w:b/>
          <w:bCs/>
        </w:rPr>
      </w:pPr>
      <w:r>
        <w:rPr>
          <w:b/>
          <w:bCs/>
        </w:rPr>
        <w:t>二、具体服务内容、要求等：</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r>
              <w:t>序号</w:t>
            </w:r>
          </w:p>
        </w:tc>
        <w:tc>
          <w:tcPr>
            <w:tcW w:w="851" w:type="dxa"/>
          </w:tcPr>
          <w:p>
            <w:r>
              <w:t>品名</w:t>
            </w:r>
          </w:p>
        </w:tc>
        <w:tc>
          <w:tcPr>
            <w:tcW w:w="6804" w:type="dxa"/>
          </w:tcPr>
          <w:p>
            <w:pPr>
              <w:ind w:firstLine="480" w:firstLineChars="200"/>
            </w:pPr>
            <w:r>
              <w:t>具体服务内容、要求等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（一）</w:t>
            </w:r>
          </w:p>
          <w:p>
            <w:pPr>
              <w:ind w:firstLine="480" w:firstLineChars="200"/>
            </w:pPr>
          </w:p>
        </w:tc>
        <w:tc>
          <w:tcPr>
            <w:tcW w:w="851" w:type="dxa"/>
          </w:tcPr>
          <w:p>
            <w:r>
              <w:t>水电维修</w:t>
            </w:r>
          </w:p>
          <w:p>
            <w:pPr>
              <w:ind w:firstLine="480" w:firstLineChars="200"/>
            </w:pPr>
          </w:p>
        </w:tc>
        <w:tc>
          <w:tcPr>
            <w:tcW w:w="6804" w:type="dxa"/>
          </w:tcPr>
          <w:p>
            <w:pPr>
              <w:tabs>
                <w:tab w:val="left" w:pos="6895"/>
              </w:tabs>
              <w:ind w:firstLine="480" w:firstLineChars="200"/>
            </w:pPr>
            <w:r>
              <w:rPr>
                <w:rFonts w:hint="eastAsia"/>
              </w:rPr>
              <w:t>1、维保人员设置需求：</w:t>
            </w:r>
          </w:p>
          <w:p>
            <w:pPr>
              <w:tabs>
                <w:tab w:val="left" w:pos="6895"/>
              </w:tabs>
              <w:ind w:firstLine="480" w:firstLineChars="200"/>
            </w:pPr>
            <w:r>
              <w:rPr>
                <w:rFonts w:hint="eastAsia"/>
              </w:rPr>
              <w:t>●1.1水电维保人员1人。</w:t>
            </w:r>
          </w:p>
          <w:p>
            <w:pPr>
              <w:tabs>
                <w:tab w:val="left" w:pos="6895"/>
              </w:tabs>
              <w:ind w:firstLine="480" w:firstLineChars="200"/>
            </w:pPr>
            <w:r>
              <w:rPr>
                <w:rFonts w:hint="eastAsia"/>
              </w:rPr>
              <w:t>●1.2持有低压电工作业操作证（提供证书扫描件）。</w:t>
            </w:r>
          </w:p>
          <w:p>
            <w:pPr>
              <w:tabs>
                <w:tab w:val="left" w:pos="6895"/>
              </w:tabs>
              <w:ind w:firstLine="480" w:firstLineChars="200"/>
            </w:pPr>
            <w:r>
              <w:rPr>
                <w:rFonts w:hint="eastAsia"/>
              </w:rPr>
              <w:t>1.3专业人员中青年为主，身体健康，仪表端庄，无不良嗜好，工作认真负责并定期接受培训；上岗时统一着装，佩戴统一标志，仪容仪表规范整齐；文明工作，训练有素，言语规范，认真负责；严格执行安全规范，确保安全。</w:t>
            </w:r>
          </w:p>
          <w:p>
            <w:pPr>
              <w:tabs>
                <w:tab w:val="left" w:pos="6895"/>
              </w:tabs>
              <w:ind w:firstLine="480" w:firstLineChars="200"/>
            </w:pPr>
            <w:r>
              <w:t>2、水电维修要求：</w:t>
            </w:r>
          </w:p>
          <w:p>
            <w:pPr>
              <w:tabs>
                <w:tab w:val="left" w:pos="6895"/>
              </w:tabs>
              <w:ind w:firstLine="480" w:firstLineChars="200"/>
            </w:pPr>
            <w:r>
              <w:t xml:space="preserve">2.1、供电系统服务内容： 对区域内的电气管线、电线电缆、电源开关、动力插座、电开水炉等低压用电设施进行日常管理和维护、维修，保持设施正常运行，所需费用全部包含在本次投标报价中。 </w:t>
            </w:r>
          </w:p>
          <w:p>
            <w:pPr>
              <w:spacing w:line="360" w:lineRule="auto"/>
              <w:ind w:firstLine="480" w:firstLineChars="200"/>
            </w:pPr>
            <w:r>
              <w:t>2.2、服务质量标准：（1）负责各类照明灯具、泛光照明系统、供用电设备设施的日常管理和维护修理。各分电表箱、配电箱、配电柜及每层管线分线盒：无积尘，接头无松动现象，每季清洁一次；主要用电线路的绝缘状况，每半年测试一次，绝缘良好。总配电箱、高配电房：每年保养和测试，无积尘，接头无松动现象；公共使用的照明、指示灯具线路、开关要保证完好。（2）保证整个大楼的供电安全。（3）应急供电系统运行正常。（4）保证网络正常运行。（5）通过有效的管理措施及技术措施，积极开展节能管理工作。</w:t>
            </w:r>
          </w:p>
          <w:p>
            <w:pPr>
              <w:tabs>
                <w:tab w:val="left" w:pos="6895"/>
              </w:tabs>
              <w:ind w:firstLine="480" w:firstLineChars="200"/>
            </w:pPr>
            <w:r>
              <w:t>3、给排水系统要求：</w:t>
            </w:r>
          </w:p>
          <w:p>
            <w:pPr>
              <w:tabs>
                <w:tab w:val="left" w:pos="6895"/>
              </w:tabs>
              <w:ind w:firstLine="480" w:firstLineChars="200"/>
            </w:pPr>
            <w:r>
              <w:t>3.1、 给排水系统服务内容：对物业管理区域室内外给排水系统的设备、设施，如水泵、水箱、气压给水装置、水处理设备、消火栓、管道、管件、阀门、水嘴、卫生洁具、排水管、透气管、水封设备、室外排水管及附属构筑物等进行日常养护维修，保持正常运行。</w:t>
            </w:r>
          </w:p>
          <w:p>
            <w:pPr>
              <w:tabs>
                <w:tab w:val="left" w:pos="6895"/>
              </w:tabs>
              <w:ind w:firstLine="480" w:firstLineChars="200"/>
            </w:pPr>
            <w:r>
              <w:t>3.2、服务质量标准：（1）每半年对给排水系统进行维护、润滑。（2）用户末端的水压及流量满足使用要求。（3）每季对楼宇排水总管进行检查，每半年对水泵、管道进行防锈处理。（4）确保水质无污染并符合规定的要求，生活饮用水水质符合GB5749一2006《生活饮用水卫生标准》的要求。生活饮用水设施的日常使用管理、清洗消毒、作业人员健康检查以及水质检测参照建设部、卫生部《城市供水水质管理规定》(建设部令第67号)执行。请有资质人员定期清洗水箱，每年不少于2次，并提供清洗后水质检测报告。（5）每季度对水质处理、消毒装置、电开水炉及设备控制柜进行保养。（6）每年至少清理污水化粪池一次，确保排水微量元素等达标；公共雨、污水管道、房顶：保证畅通无堵，每月要定期检查疏通；窨井、窨沟、排水沟、集水井：管道通畅，无堵塞外溢现象，每月定期检查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（二）</w:t>
            </w:r>
          </w:p>
          <w:p>
            <w:pPr>
              <w:ind w:firstLine="480" w:firstLineChars="200"/>
            </w:pPr>
          </w:p>
        </w:tc>
        <w:tc>
          <w:tcPr>
            <w:tcW w:w="851" w:type="dxa"/>
          </w:tcPr>
          <w:p>
            <w:r>
              <w:t>房屋养护维修</w:t>
            </w:r>
          </w:p>
        </w:tc>
        <w:tc>
          <w:tcPr>
            <w:tcW w:w="6804" w:type="dxa"/>
          </w:tcPr>
          <w:p>
            <w:pPr>
              <w:ind w:left="206" w:leftChars="86" w:firstLine="480" w:firstLineChars="200"/>
            </w:pPr>
            <w:r>
              <w:t>1、服务内容： 物业管理区域内房屋地面、墙、台面及吊顶、门窗、楼梯、通风道、大厅大面积玻璃顶等的日常巡查和养护维修；外墙幕墙的养护和维修。</w:t>
            </w:r>
          </w:p>
          <w:p>
            <w:pPr>
              <w:ind w:left="206" w:leftChars="86" w:firstLine="480" w:firstLineChars="200"/>
            </w:pPr>
            <w:r>
              <w:t>2、服务质量标准：（1）确保物业管理区域内房屋及设施的完好等级和正常使用。（2）玻璃无破裂，五金配件完好，门窗开闭灵活、密封性好、无异常声响。否则应及时修复或更换，不能立即修复的涉及安全性的应采取措施消除安全隐患。（3）粉刷无明显剥落开裂，墙面砖、地坪、地砖、地板平整不起壳、无遗缺，吊顶无污（水）渍、开缝和破损。否则应及时修复或更换，不能影响车辆和行人通行。（4）屋面排水沟、室内室外排水管保障畅通；雨前及时巡查，排除隐患。发现过滤网及管道破损及时修复或更换。（5）发现屋面或其他防水层有气鼓、破裂，隔热板有断裂、缺损的，屋面、墙面有渗漏的，应在3个工作日内安排专项修理。（6）及时完成家具、设备等各项零星维修任务，一般维修任务确保不超过24小时，确保家具、设备维修合格率达到100%。（7）楼内相关设施发现损坏应立即修复，安全标志等应清晰完整。保证各项设施、器材的正常使用；</w:t>
            </w:r>
          </w:p>
          <w:p>
            <w:pPr>
              <w:ind w:left="206" w:leftChars="86" w:firstLine="480" w:firstLineChars="200"/>
            </w:pPr>
            <w:r>
              <w:t>3、其他要求</w:t>
            </w:r>
          </w:p>
          <w:p>
            <w:pPr>
              <w:ind w:left="206" w:leftChars="86" w:firstLine="480" w:firstLineChars="200"/>
            </w:pPr>
            <w:r>
              <w:t>3.1、各类设备、房屋维修出现故障时，维修人员应在接到报修后30分钟内到达现场，设备零修合格率达到100%，一般性维修不过夜。</w:t>
            </w:r>
          </w:p>
          <w:p>
            <w:pPr>
              <w:ind w:left="206" w:leftChars="86" w:firstLine="480" w:firstLineChars="200"/>
            </w:pPr>
            <w:r>
              <w:t>3.2、针对大楼的防雷设施、设备的维保，需委托专业维保单位，进行检测保养；室外设备需定期进行防锈处理。</w:t>
            </w:r>
          </w:p>
          <w:p>
            <w:pPr>
              <w:ind w:left="206" w:leftChars="86" w:firstLine="480" w:firstLineChars="200"/>
            </w:pPr>
            <w:r>
              <w:t>3.3、完成采购人交办的临时任务。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（三）</w:t>
            </w:r>
          </w:p>
        </w:tc>
        <w:tc>
          <w:tcPr>
            <w:tcW w:w="851" w:type="dxa"/>
          </w:tcPr>
          <w:p>
            <w:r>
              <w:t>综 合 食 堂 运 营 管 理</w:t>
            </w:r>
          </w:p>
        </w:tc>
        <w:tc>
          <w:tcPr>
            <w:tcW w:w="6804" w:type="dxa"/>
          </w:tcPr>
          <w:p>
            <w:pPr>
              <w:numPr>
                <w:ilvl w:val="0"/>
                <w:numId w:val="1"/>
              </w:numPr>
              <w:ind w:left="206" w:leftChars="86" w:firstLine="480" w:firstLineChars="200"/>
            </w:pPr>
            <w:r>
              <w:t>人员设置需求：</w:t>
            </w:r>
          </w:p>
          <w:p>
            <w:r>
              <w:rPr>
                <w:rFonts w:hint="eastAsia" w:ascii="宋体" w:hAnsi="宋体" w:cs="宋体"/>
                <w:b/>
                <w:bCs/>
                <w:color w:val="000000"/>
                <w:kern w:val="0"/>
              </w:rPr>
              <w:t xml:space="preserve">      ●</w:t>
            </w:r>
            <w:r>
              <w:t>厨师</w:t>
            </w:r>
            <w:r>
              <w:rPr>
                <w:rFonts w:hint="eastAsia"/>
              </w:rPr>
              <w:t>2人、</w:t>
            </w:r>
            <w:r>
              <w:t>服务员</w:t>
            </w:r>
            <w:r>
              <w:rPr>
                <w:rFonts w:hint="eastAsia"/>
              </w:rPr>
              <w:t>2人、切配2人</w:t>
            </w:r>
          </w:p>
          <w:p>
            <w:r>
              <w:rPr>
                <w:rFonts w:hint="eastAsia" w:ascii="宋体" w:hAnsi="宋体" w:cs="宋体"/>
                <w:b/>
                <w:bCs/>
                <w:kern w:val="0"/>
              </w:rPr>
              <w:t xml:space="preserve">      ●</w:t>
            </w:r>
            <w:r>
              <w:rPr>
                <w:rFonts w:hint="eastAsia"/>
              </w:rPr>
              <w:t>从业人员须有健康证，符合餐饮工作人员条件。（提供证书扫描件）</w:t>
            </w:r>
          </w:p>
          <w:p>
            <w:pPr>
              <w:ind w:left="206" w:leftChars="86" w:firstLine="480" w:firstLineChars="200"/>
            </w:pPr>
            <w:r>
              <w:t>岗位需求：</w:t>
            </w:r>
          </w:p>
          <w:p>
            <w:pPr>
              <w:ind w:left="206" w:leftChars="86" w:firstLine="480" w:firstLineChars="200"/>
            </w:pPr>
            <w:r>
              <w:t xml:space="preserve"> 综合食堂建筑面积为1385平方米，规划为250人一日三餐就餐的食堂。（目前福利中心就餐人数100人，救助站25人）除工作人员、培训人员就餐外，还要为救助人员和孤残儿童配餐。</w:t>
            </w:r>
          </w:p>
          <w:p>
            <w:pPr>
              <w:ind w:left="206" w:leftChars="86" w:firstLine="480" w:firstLineChars="200"/>
            </w:pPr>
            <w:r>
              <w:t>（二）运营模式：</w:t>
            </w:r>
          </w:p>
          <w:p>
            <w:pPr>
              <w:ind w:left="206" w:leftChars="86" w:firstLine="480" w:firstLineChars="200"/>
            </w:pPr>
            <w:r>
              <w:t xml:space="preserve"> 食材及用料由采购方自行采购，并提供水、电、燃料，中标方提供加工及服务。</w:t>
            </w:r>
          </w:p>
          <w:p>
            <w:pPr>
              <w:ind w:left="206" w:leftChars="86" w:firstLine="480" w:firstLineChars="200"/>
            </w:pPr>
            <w:r>
              <w:t>（三）运营管理要求：</w:t>
            </w:r>
          </w:p>
          <w:p>
            <w:pPr>
              <w:ind w:left="206" w:leftChars="86" w:firstLine="480" w:firstLineChars="200"/>
            </w:pPr>
            <w:r>
              <w:t>1、负责综合食堂的整体运营，为孤残儿童院、救助管理站工作人员及外来培训人员提供就餐；为孤残儿童、流浪救助人员提供配餐服务；根据采购方要求提供餐饮接待服务。</w:t>
            </w:r>
          </w:p>
          <w:p>
            <w:pPr>
              <w:ind w:left="206" w:leftChars="86" w:firstLine="480" w:firstLineChars="200"/>
            </w:pPr>
            <w:r>
              <w:t>2</w:t>
            </w:r>
            <w:r>
              <w:rPr>
                <w:rFonts w:hint="eastAsia"/>
              </w:rPr>
              <w:t>、</w:t>
            </w:r>
            <w:r>
              <w:t>要遵守国家和地方的安全卫生规定，严把好食品的质量关。</w:t>
            </w:r>
          </w:p>
          <w:p>
            <w:pPr>
              <w:ind w:left="206" w:leftChars="86" w:firstLine="480" w:firstLineChars="200"/>
            </w:pPr>
            <w:r>
              <w:t>3、废水、废气、废弃物的排放、处置要符合国家及地方相关环保法律法规规定，食堂运营中产生的垃圾归中标方自行处理，并承担应此产生的一切后果。</w:t>
            </w:r>
          </w:p>
          <w:p>
            <w:pPr>
              <w:ind w:left="206" w:leftChars="86" w:firstLine="480" w:firstLineChars="200"/>
            </w:pPr>
            <w:r>
              <w:t>4、采购方对中标方的卫生状况及服务水平进行全面监督，对不合理现象有权责令修改并要求中标方不断提高管理水平。</w:t>
            </w:r>
          </w:p>
          <w:p>
            <w:pPr>
              <w:ind w:left="206" w:leftChars="86" w:firstLine="480" w:firstLineChars="200"/>
            </w:pPr>
            <w:r>
              <w:t>5、相关监督机构对查有异常时，中标方应将异常情况及改善对策报知采购方，因检查产生的一切后果由中标方承担。</w:t>
            </w:r>
          </w:p>
          <w:p>
            <w:pPr>
              <w:ind w:left="206" w:leftChars="86" w:firstLine="480" w:firstLineChars="200"/>
            </w:pPr>
            <w:r>
              <w:t>（四）其他要求：</w:t>
            </w:r>
          </w:p>
          <w:p>
            <w:pPr>
              <w:ind w:left="206" w:leftChars="86" w:firstLine="480" w:firstLineChars="200"/>
            </w:pPr>
            <w:r>
              <w:t>1、孤残儿童就餐实行配餐制，因其特殊群体就餐时间点有特殊要求，需24小时运营，无双休日和法定节假日。孤残儿童每天固定就餐点为早餐：7：00；上午点心：9：30；午餐：11：00；下午点心：2：30；晚餐：17：00；晚间点心：19：30；（夏令、冬令时间有微调，以采购方意见为准），其他时间需要配餐的按照采购方要求提供。</w:t>
            </w:r>
          </w:p>
          <w:p>
            <w:pPr>
              <w:ind w:left="206" w:leftChars="86" w:firstLine="480" w:firstLineChars="200"/>
            </w:pPr>
            <w:r>
              <w:t>2、救助站受助人员有流动性大及时间不确定性，因此在就餐时间上有特殊要求，需要实行24小时配餐制。</w:t>
            </w:r>
          </w:p>
          <w:p>
            <w:pPr>
              <w:ind w:firstLine="480" w:firstLineChars="200"/>
            </w:pPr>
            <w:r>
              <w:t xml:space="preserve"> 3、其他未明事项经双方协商后可在承包协议中明确。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（四）</w:t>
            </w:r>
          </w:p>
        </w:tc>
        <w:tc>
          <w:tcPr>
            <w:tcW w:w="851" w:type="dxa"/>
          </w:tcPr>
          <w:p>
            <w:r>
              <w:t>绿 化 维护 和 管 理 指 标</w:t>
            </w:r>
          </w:p>
        </w:tc>
        <w:tc>
          <w:tcPr>
            <w:tcW w:w="6804" w:type="dxa"/>
          </w:tcPr>
          <w:p>
            <w:pPr>
              <w:ind w:firstLine="480"/>
            </w:pPr>
            <w:r>
              <w:rPr>
                <w:rFonts w:hint="eastAsia"/>
              </w:rPr>
              <w:t>（一）人员设置需求：</w:t>
            </w:r>
          </w:p>
          <w:p>
            <w:pPr>
              <w:ind w:firstLine="480"/>
            </w:pPr>
            <w:r>
              <w:rPr>
                <w:rFonts w:hint="eastAsia" w:ascii="宋体" w:hAnsi="宋体" w:cs="宋体"/>
                <w:b/>
                <w:bCs/>
                <w:color w:val="000000"/>
                <w:kern w:val="0"/>
              </w:rPr>
              <w:t>●</w:t>
            </w:r>
            <w:r>
              <w:rPr>
                <w:rFonts w:hint="eastAsia"/>
              </w:rPr>
              <w:t xml:space="preserve"> 绿化维护1人。进行室外及室内绿化专业养护。</w:t>
            </w:r>
          </w:p>
          <w:p>
            <w:pPr>
              <w:ind w:firstLine="480"/>
            </w:pPr>
            <w:r>
              <w:rPr>
                <w:rFonts w:hint="eastAsia"/>
              </w:rPr>
              <w:t xml:space="preserve"> （二）维护人员要求：</w:t>
            </w:r>
          </w:p>
          <w:p>
            <w:pPr>
              <w:ind w:firstLine="480"/>
            </w:pPr>
            <w:r>
              <w:rPr>
                <w:rFonts w:hint="eastAsia"/>
              </w:rPr>
              <w:t xml:space="preserve">  1、专业人员以中青年为主，身体健康，工作认真负责并定期接受培训。</w:t>
            </w:r>
          </w:p>
          <w:p>
            <w:pPr>
              <w:ind w:firstLine="480"/>
            </w:pPr>
            <w:r>
              <w:rPr>
                <w:rFonts w:hint="eastAsia"/>
              </w:rPr>
              <w:t xml:space="preserve">  2、上岗时佩戴统一标志，按需求穿戴统一制服，仪容仪表规范整齐。</w:t>
            </w:r>
          </w:p>
          <w:p>
            <w:pPr>
              <w:ind w:firstLine="480"/>
            </w:pPr>
            <w:r>
              <w:rPr>
                <w:rFonts w:hint="eastAsia"/>
              </w:rPr>
              <w:t xml:space="preserve">  3、文明工作，训练有素，言语规范，认真负责。</w:t>
            </w:r>
          </w:p>
          <w:p>
            <w:pPr>
              <w:ind w:firstLine="480"/>
            </w:pPr>
            <w:r>
              <w:rPr>
                <w:rFonts w:hint="eastAsia"/>
              </w:rPr>
              <w:t xml:space="preserve"> （三）绿化服务内容及要求：</w:t>
            </w:r>
          </w:p>
          <w:p>
            <w:pPr>
              <w:ind w:firstLine="480"/>
            </w:pPr>
            <w:r>
              <w:rPr>
                <w:rFonts w:hint="eastAsia"/>
              </w:rPr>
              <w:t xml:space="preserve">  1、服务内容：本物业大楼使用范围内的绿化带的树木、花草、色块等的日常养护和管理。根据大楼实际及现摆放情况提出更好的设计方案，做好室内绿化摆放和会议摆花等工作。落实责任人进行养护，实行巡查制度，建档记录。</w:t>
            </w:r>
          </w:p>
          <w:p>
            <w:pPr>
              <w:ind w:firstLine="480"/>
            </w:pPr>
            <w:r>
              <w:rPr>
                <w:rFonts w:hint="eastAsia"/>
              </w:rPr>
              <w:t xml:space="preserve">  2、服务质量标准：建立定期除草、修剪制度，确保绿化无杂草、造型规整；及时喷洒农药、浇水施肥，确保绿化养护期内100%存活。具体要求如下：（1）花坛和花景。及时清除枯萎的花蒂、黄叶、杂草、垃圾，做好病虫害防治。花坛和花景做到造型新颖、色彩鲜艳、植物长势好。（2）室内花木。花箱由中标单位免费提供使用；办公室、会议室、大厅服务场所摆放盆花和绿色植物，按时更换，落实责任人进行养护。保持常年鲜艳，按采购单位要求及时更换，重大节假日摆放应体现节日气氛，美观大气。根据一年四季的变化更换花木，特殊情况按需更新。投标人提供花盆花架等辅助设备，辅助设备及植物摆放要求不低于原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（五）</w:t>
            </w:r>
          </w:p>
        </w:tc>
        <w:tc>
          <w:tcPr>
            <w:tcW w:w="851" w:type="dxa"/>
          </w:tcPr>
          <w:p>
            <w:r>
              <w:t>消防、弱电网络与监控设备维护</w:t>
            </w:r>
          </w:p>
        </w:tc>
        <w:tc>
          <w:tcPr>
            <w:tcW w:w="6804" w:type="dxa"/>
          </w:tcPr>
          <w:p>
            <w:pPr>
              <w:ind w:firstLine="600" w:firstLineChars="250"/>
              <w:jc w:val="left"/>
            </w:pPr>
            <w:r>
              <w:rPr>
                <w:rFonts w:hint="eastAsia"/>
              </w:rPr>
              <w:t>（一）</w:t>
            </w:r>
            <w:r>
              <w:t>人员设置需求：</w:t>
            </w:r>
          </w:p>
          <w:p>
            <w:pPr>
              <w:ind w:left="206" w:leftChars="86" w:firstLine="482" w:firstLineChars="200"/>
              <w:jc w:val="left"/>
              <w:rPr>
                <w:color w:val="0000FF"/>
              </w:rPr>
            </w:pPr>
            <w:r>
              <w:rPr>
                <w:rFonts w:hint="eastAsia" w:ascii="宋体" w:hAnsi="宋体" w:cs="宋体"/>
                <w:b/>
                <w:bCs/>
                <w:color w:val="000000"/>
                <w:kern w:val="0"/>
              </w:rPr>
              <w:t>●</w:t>
            </w:r>
            <w:r>
              <w:rPr>
                <w:rFonts w:hint="eastAsia"/>
              </w:rPr>
              <w:t>1、</w:t>
            </w:r>
            <w:r>
              <w:t>消防中控员</w:t>
            </w:r>
            <w:r>
              <w:rPr>
                <w:rFonts w:hint="eastAsia"/>
              </w:rPr>
              <w:t>6人</w:t>
            </w:r>
            <w:r>
              <w:rPr>
                <w:rFonts w:hint="eastAsia"/>
                <w:color w:val="0000FF"/>
              </w:rPr>
              <w:t>（</w:t>
            </w:r>
            <w:r>
              <w:t>24小时</w:t>
            </w:r>
            <w:r>
              <w:rPr>
                <w:rFonts w:hint="eastAsia"/>
              </w:rPr>
              <w:t>制</w:t>
            </w:r>
            <w:r>
              <w:rPr>
                <w:rFonts w:hint="eastAsia"/>
                <w:color w:val="0000FF"/>
              </w:rPr>
              <w:t>）</w:t>
            </w:r>
          </w:p>
          <w:p>
            <w:pPr>
              <w:ind w:left="206" w:leftChars="86" w:firstLine="482" w:firstLineChars="200"/>
              <w:jc w:val="left"/>
            </w:pPr>
            <w:r>
              <w:rPr>
                <w:rFonts w:hint="eastAsia" w:ascii="宋体" w:hAnsi="宋体" w:cs="宋体"/>
                <w:b/>
                <w:bCs/>
                <w:color w:val="000000"/>
                <w:kern w:val="0"/>
              </w:rPr>
              <w:t>●</w:t>
            </w:r>
            <w:r>
              <w:rPr>
                <w:rFonts w:hint="eastAsia"/>
                <w:kern w:val="0"/>
              </w:rPr>
              <w:t>2、必须持有建（构）筑物消防员国家职业资格证书（提供证书扫描件）</w:t>
            </w:r>
          </w:p>
          <w:p>
            <w:pPr>
              <w:ind w:left="206" w:leftChars="86" w:firstLine="480" w:firstLineChars="200"/>
            </w:pPr>
            <w:r>
              <w:t>（二）消防维保人员要求和服务标准：</w:t>
            </w:r>
          </w:p>
          <w:p>
            <w:pPr>
              <w:ind w:left="206" w:leftChars="86" w:firstLine="480" w:firstLineChars="200"/>
            </w:pPr>
            <w:r>
              <w:t xml:space="preserve"> 1、经过相关消防知识培训，具有杭州市消防安全知识培训合格证或中华人民共和国自动消防系统操作资格证。</w:t>
            </w:r>
          </w:p>
          <w:p>
            <w:pPr>
              <w:ind w:left="206" w:leftChars="86" w:firstLine="480" w:firstLineChars="200"/>
            </w:pPr>
            <w:r>
              <w:t xml:space="preserve"> 2、由有相应资格的专业人员定期对消防、监控主机及各消防、弱电网络与监控点的设备进行维护保养，确保网络交换机、网络线路、电话通讯线路畅通，确保运行无故障；定期对室外的消防栓、消防水带、消防泵等设备进行检查，有无埋压或损坏等情况；定期对各楼层消防栓进行检查，设施是否齐全；定期对各楼层的感烟探测器、感温探测器、手动报警按钮、层显等设备进行检查，是否有遮挡或损坏等情况；定期对各楼层的灭火器进行检查更换，是否有压力不足或缺少等情况；定期对各楼层的排烟通风口、消防通道进行检查，是否有遮挡或堵塞，各楼层的疏散指示标志是否有损坏或缺少等情况；定期对各楼层应急电源的主、备电情况进行检查。</w:t>
            </w:r>
          </w:p>
          <w:p>
            <w:pPr>
              <w:ind w:firstLine="480" w:firstLineChars="200"/>
            </w:pPr>
            <w:r>
              <w:t>3、临时故障紧急修理，接通知后30分钟内到现场检修。</w:t>
            </w:r>
          </w:p>
          <w:p>
            <w:pPr>
              <w:ind w:firstLine="482" w:firstLineChars="200"/>
            </w:pPr>
            <w:r>
              <w:rPr>
                <w:rFonts w:hint="eastAsia" w:ascii="宋体" w:hAnsi="宋体" w:cs="宋体"/>
                <w:b/>
                <w:bCs/>
                <w:color w:val="000000"/>
                <w:kern w:val="0"/>
              </w:rPr>
              <w:t>●</w:t>
            </w:r>
            <w:r>
              <w:rPr>
                <w:rFonts w:hint="eastAsia"/>
              </w:rPr>
              <w:t>4、</w:t>
            </w:r>
            <w:r>
              <w:rPr>
                <w:rFonts w:hint="eastAsia" w:ascii="宋体" w:hAnsi="宋体" w:cs="宋体"/>
                <w:b/>
                <w:bCs/>
                <w:color w:val="000000"/>
              </w:rPr>
              <w:t>合同签订后，中标单位进场服务一个月内，须向采购人提供弱电、空调、消防设施、电梯保养等国家规定的相应资质证书或有相应资质分包单位的分包协议。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（六）</w:t>
            </w:r>
          </w:p>
        </w:tc>
        <w:tc>
          <w:tcPr>
            <w:tcW w:w="851" w:type="dxa"/>
          </w:tcPr>
          <w:p>
            <w:r>
              <w:t>电梯维护</w:t>
            </w:r>
          </w:p>
        </w:tc>
        <w:tc>
          <w:tcPr>
            <w:tcW w:w="6804" w:type="dxa"/>
          </w:tcPr>
          <w:p>
            <w:pPr>
              <w:ind w:left="206" w:leftChars="86" w:firstLine="480" w:firstLineChars="200"/>
            </w:pPr>
            <w:r>
              <w:t>（一）服务内容：</w:t>
            </w:r>
          </w:p>
          <w:p>
            <w:pPr>
              <w:ind w:left="206" w:leftChars="86" w:firstLine="480" w:firstLineChars="200"/>
            </w:pPr>
            <w:r>
              <w:t xml:space="preserve"> 全责保养维护</w:t>
            </w:r>
          </w:p>
          <w:p>
            <w:pPr>
              <w:ind w:left="206" w:leftChars="86" w:firstLine="480" w:firstLineChars="200"/>
            </w:pPr>
            <w:r>
              <w:t>（二）服务质量标准：</w:t>
            </w:r>
          </w:p>
          <w:p>
            <w:pPr>
              <w:ind w:left="206" w:leftChars="86" w:firstLine="480" w:firstLineChars="200"/>
            </w:pPr>
            <w:r>
              <w:t xml:space="preserve"> 1、保证电梯的24小时正常运转使用。</w:t>
            </w:r>
          </w:p>
          <w:p>
            <w:pPr>
              <w:ind w:left="206" w:leftChars="86" w:firstLine="480" w:firstLineChars="200"/>
            </w:pPr>
            <w:r>
              <w:t xml:space="preserve"> 2、每月2次由具备相应资质的专业技术人员上门维保，每次间隔时间不超过15天，做好维保记录，按工艺和规范对电梯作机电上之安全检查及各机件之加油润滑、清理点检、性能调整等作业。</w:t>
            </w:r>
          </w:p>
          <w:p>
            <w:pPr>
              <w:ind w:firstLine="480" w:firstLineChars="200"/>
            </w:pPr>
            <w:r>
              <w:t xml:space="preserve">   3、临时故障紧急修理，接通知后30分钟内到现场检修。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（七）</w:t>
            </w:r>
          </w:p>
        </w:tc>
        <w:tc>
          <w:tcPr>
            <w:tcW w:w="851" w:type="dxa"/>
          </w:tcPr>
          <w:p>
            <w:r>
              <w:t>空调、洗衣设备维护</w:t>
            </w:r>
          </w:p>
        </w:tc>
        <w:tc>
          <w:tcPr>
            <w:tcW w:w="6804" w:type="dxa"/>
          </w:tcPr>
          <w:p>
            <w:pPr>
              <w:ind w:firstLine="600" w:firstLineChars="250"/>
              <w:jc w:val="left"/>
            </w:pPr>
            <w:r>
              <w:t>（一）服务内容：</w:t>
            </w:r>
          </w:p>
          <w:p>
            <w:pPr>
              <w:ind w:firstLine="600" w:firstLineChars="250"/>
              <w:jc w:val="left"/>
            </w:pPr>
            <w:r>
              <w:t>所有空调、洗衣设备的日常养护维修</w:t>
            </w:r>
            <w:r>
              <w:rPr>
                <w:rFonts w:hint="eastAsia"/>
              </w:rPr>
              <w:t>。</w:t>
            </w:r>
          </w:p>
          <w:p>
            <w:pPr>
              <w:ind w:firstLine="600" w:firstLineChars="250"/>
              <w:jc w:val="left"/>
            </w:pPr>
            <w:r>
              <w:t>（二）服务质量标准：</w:t>
            </w:r>
          </w:p>
          <w:p>
            <w:pPr>
              <w:ind w:firstLine="600" w:firstLineChars="250"/>
              <w:jc w:val="left"/>
            </w:pPr>
            <w:r>
              <w:t>1、每半年对空调内置滤网清洗一次。</w:t>
            </w:r>
          </w:p>
          <w:p>
            <w:pPr>
              <w:ind w:firstLine="600" w:firstLineChars="250"/>
              <w:jc w:val="left"/>
            </w:pPr>
            <w:r>
              <w:t>2、定期检查保养，及时排除故障，保证运行正常。</w:t>
            </w:r>
          </w:p>
          <w:p>
            <w:pPr>
              <w:ind w:firstLine="600" w:firstLineChars="250"/>
              <w:jc w:val="left"/>
            </w:pPr>
            <w:r>
              <w:t>3、通过有效的管理措施及技术措施，积极开展节能管理工作。空调、洗衣设备系统出现故障后，由有相应资格的维修人员在30分钟内到达现场维修，小修及时处理，中修、大修及时联系厂家技术人员并协助维修；维修及时率100%；有故障应急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817" w:type="dxa"/>
          </w:tcPr>
          <w:p>
            <w:r>
              <w:t>（八）</w:t>
            </w:r>
          </w:p>
        </w:tc>
        <w:tc>
          <w:tcPr>
            <w:tcW w:w="851" w:type="dxa"/>
          </w:tcPr>
          <w:p>
            <w:r>
              <w:t>物业主要负责人管理</w:t>
            </w:r>
          </w:p>
        </w:tc>
        <w:tc>
          <w:tcPr>
            <w:tcW w:w="6804" w:type="dxa"/>
          </w:tcPr>
          <w:p>
            <w:pPr>
              <w:adjustRightInd w:val="0"/>
              <w:snapToGrid w:val="0"/>
              <w:ind w:firstLine="480" w:firstLineChars="200"/>
            </w:pPr>
            <w:r>
              <w:t>人员设置：</w:t>
            </w:r>
          </w:p>
          <w:p>
            <w:pPr>
              <w:adjustRightInd w:val="0"/>
              <w:snapToGrid w:val="0"/>
              <w:ind w:firstLine="482" w:firstLineChars="200"/>
            </w:pPr>
            <w:r>
              <w:rPr>
                <w:rFonts w:hint="eastAsia" w:ascii="宋体" w:hAnsi="宋体" w:cs="宋体"/>
                <w:b/>
                <w:bCs/>
                <w:color w:val="000000"/>
                <w:kern w:val="0"/>
              </w:rPr>
              <w:t>●</w:t>
            </w:r>
            <w:r>
              <w:t>物业经理1人</w:t>
            </w:r>
          </w:p>
          <w:p>
            <w:pPr>
              <w:adjustRightInd w:val="0"/>
              <w:snapToGrid w:val="0"/>
              <w:ind w:firstLine="480" w:firstLineChars="200"/>
            </w:pPr>
            <w:r>
              <w:t>人员要求：</w:t>
            </w:r>
          </w:p>
          <w:p>
            <w:pPr>
              <w:adjustRightInd w:val="0"/>
              <w:snapToGrid w:val="0"/>
              <w:ind w:firstLine="480" w:firstLineChars="200"/>
            </w:pPr>
            <w:r>
              <w:t>年龄在45周岁以下，身体健康，沟通交流无障碍。</w:t>
            </w:r>
          </w:p>
          <w:p>
            <w:pPr>
              <w:adjustRightInd w:val="0"/>
              <w:snapToGrid w:val="0"/>
              <w:ind w:firstLine="480" w:firstLineChars="200"/>
            </w:pPr>
            <w:r>
              <w:t>有2年以上相关物业管理经验服务内容及要求：全面负责办公楼的物业管理。对采购方提出的问题和要求能够及时给出解决方案。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（九）</w:t>
            </w:r>
          </w:p>
        </w:tc>
        <w:tc>
          <w:tcPr>
            <w:tcW w:w="851" w:type="dxa"/>
          </w:tcPr>
          <w:p>
            <w:r>
              <w:t>保安及门卫管理</w:t>
            </w:r>
          </w:p>
        </w:tc>
        <w:tc>
          <w:tcPr>
            <w:tcW w:w="6804" w:type="dxa"/>
          </w:tcPr>
          <w:p>
            <w:pPr>
              <w:ind w:firstLine="482" w:firstLineChars="200"/>
            </w:pPr>
            <w:r>
              <w:rPr>
                <w:rFonts w:hint="eastAsia" w:ascii="宋体" w:hAnsi="宋体" w:cs="宋体"/>
                <w:b/>
                <w:bCs/>
                <w:color w:val="000000"/>
                <w:kern w:val="0"/>
              </w:rPr>
              <w:t>●</w:t>
            </w:r>
            <w:r>
              <w:t>1、人员设置：</w:t>
            </w:r>
          </w:p>
          <w:p>
            <w:pPr>
              <w:ind w:firstLine="480" w:firstLineChars="200"/>
            </w:pPr>
            <w:r>
              <w:t>（1）园区</w:t>
            </w:r>
            <w:r>
              <w:rPr>
                <w:rFonts w:hint="eastAsia"/>
              </w:rPr>
              <w:t>大门：8人</w:t>
            </w:r>
            <w:r>
              <w:t>。</w:t>
            </w:r>
          </w:p>
          <w:p>
            <w:pPr>
              <w:ind w:firstLine="480" w:firstLineChars="200"/>
            </w:pPr>
            <w:r>
              <w:t>（2）救助站保安</w:t>
            </w:r>
            <w:r>
              <w:rPr>
                <w:rFonts w:hint="eastAsia"/>
              </w:rPr>
              <w:t>：8人</w:t>
            </w:r>
            <w:r>
              <w:t>。</w:t>
            </w:r>
          </w:p>
          <w:p>
            <w:pPr>
              <w:ind w:firstLine="480" w:firstLineChars="200"/>
            </w:pPr>
            <w:r>
              <w:t>（3）福利中心（孤儿院）</w:t>
            </w:r>
            <w:r>
              <w:rPr>
                <w:rFonts w:hint="eastAsia"/>
              </w:rPr>
              <w:t>4人</w:t>
            </w:r>
            <w:r>
              <w:t>。</w:t>
            </w:r>
          </w:p>
          <w:p>
            <w:pPr>
              <w:ind w:firstLine="480" w:firstLineChars="200"/>
            </w:pPr>
            <w:r>
              <w:t>（4）园区巡逻</w:t>
            </w:r>
            <w:r>
              <w:rPr>
                <w:rFonts w:hint="eastAsia"/>
              </w:rPr>
              <w:t>3人</w:t>
            </w:r>
            <w:r>
              <w:t>。</w:t>
            </w:r>
          </w:p>
          <w:p>
            <w:pPr>
              <w:ind w:firstLine="480" w:firstLineChars="200"/>
            </w:pPr>
            <w:r>
              <w:t>2、人员要求：</w:t>
            </w:r>
          </w:p>
          <w:p>
            <w:pPr>
              <w:ind w:firstLine="480" w:firstLineChars="200"/>
            </w:pPr>
            <w:r>
              <w:t>（1）人员要求40周岁以下，身体健康，仪表端庄，精力充沛，无不良嗜好，工作认真负责并定期接受培训，具体要求如下：</w:t>
            </w:r>
          </w:p>
          <w:p>
            <w:pPr>
              <w:ind w:firstLine="480" w:firstLineChars="200"/>
            </w:pPr>
            <w:r>
              <w:t>（2）复转军人或经过相关专业机构培训并提供相关证件、证明，具有相关培训经历及合格证书；能处理和应对采购人公共秩序维护工作，能正确使用各类消防器械和设备，能够熟悉、掌握各类刑事、治安案件和各类灾害事故的应急预案；</w:t>
            </w:r>
          </w:p>
          <w:p>
            <w:pPr>
              <w:ind w:firstLine="480" w:firstLineChars="200"/>
            </w:pPr>
            <w:r>
              <w:t>（3）上岗时佩戴统一标志，按需求穿戴统一制服（精致），装备佩戴规范，仪容仪表规范整齐，当值时坐姿挺直，站岗时不倚不靠、采用跨立站岗；</w:t>
            </w:r>
          </w:p>
          <w:p>
            <w:pPr>
              <w:ind w:firstLine="480" w:firstLineChars="200"/>
            </w:pPr>
            <w:r>
              <w:t>（4）文明执勤，训练有素，言语规范，认真负责；配备必备的安全护卫器械和通讯器材（由中标单位负责），盾牌、钢叉等反恐设备由采购人提供。</w:t>
            </w:r>
          </w:p>
          <w:p>
            <w:pPr>
              <w:ind w:firstLine="480" w:firstLineChars="200"/>
            </w:pPr>
            <w:r>
              <w:t xml:space="preserve"> 3、服务内容及要求：</w:t>
            </w:r>
          </w:p>
          <w:p>
            <w:pPr>
              <w:ind w:firstLine="480" w:firstLineChars="200"/>
            </w:pPr>
            <w:r>
              <w:t>（1）做好本物业范围内的保安工作。</w:t>
            </w:r>
          </w:p>
          <w:p>
            <w:pPr>
              <w:ind w:firstLine="480" w:firstLineChars="200"/>
            </w:pPr>
            <w:r>
              <w:t>（2）交接班：有详细完整的交接班记录。</w:t>
            </w:r>
          </w:p>
          <w:p>
            <w:pPr>
              <w:ind w:firstLine="480" w:firstLineChars="200"/>
            </w:pPr>
            <w:r>
              <w:t>（3）引导车辆有序通行、所有各类车辆在指定位置停放。禁止无关人员（产品推销及收购废品等闲杂人员）进入；</w:t>
            </w:r>
          </w:p>
          <w:p>
            <w:pPr>
              <w:ind w:firstLine="480" w:firstLineChars="200"/>
            </w:pPr>
            <w:r>
              <w:t>（4）保证大楼内、窗口服务场所、大楼周边秩序井然。登记、引导规范，并进行楼层巡查；</w:t>
            </w:r>
          </w:p>
          <w:p>
            <w:pPr>
              <w:ind w:firstLine="480" w:firstLineChars="200"/>
            </w:pPr>
            <w:r>
              <w:t>（5）保持值班室、大门口环境整洁、有序、道路畅通；</w:t>
            </w:r>
          </w:p>
          <w:p>
            <w:pPr>
              <w:ind w:firstLine="480" w:firstLineChars="200"/>
            </w:pPr>
            <w:r>
              <w:t>（6）夜间：工作人员下班后关闭大门，对办公室门窗及楼道窗户关闭情况进行必要的安全检查，按时开启、关闭报警及其他有关设施；</w:t>
            </w:r>
          </w:p>
          <w:p>
            <w:pPr>
              <w:ind w:firstLine="480" w:firstLineChars="200"/>
            </w:pPr>
            <w:r>
              <w:t>（7）监控室：按有关规定配备值班人员，通讯设备保持24小时开通，并保持完整的监控记录。每天定期检查，做好相关记录。熟悉救助站、福利中心所辖区域内各监控点位置，发现情况及时向主管领导报告。实行24小时值班制度，任何时间不得擅自离开岗位，如遇特殊情况需经主管领导批准并在有人代班的情况下方可离开；</w:t>
            </w:r>
          </w:p>
          <w:p>
            <w:pPr>
              <w:ind w:firstLine="480" w:firstLineChars="200"/>
            </w:pPr>
            <w:r>
              <w:t>（8）提供帮助：在遇到来站咨询和求助的人员等需要帮助时，应主动热情；</w:t>
            </w:r>
          </w:p>
          <w:p>
            <w:pPr>
              <w:ind w:firstLine="480" w:firstLineChars="200"/>
            </w:pPr>
            <w:r>
              <w:t>（9）应急响应：接到火警、警情后3分钟内到达现场处置，并报负责人，同时根据要求与警方联系与协调；</w:t>
            </w:r>
          </w:p>
          <w:p>
            <w:pPr>
              <w:ind w:firstLine="480" w:firstLineChars="200"/>
              <w:jc w:val="left"/>
            </w:pPr>
            <w:r>
              <w:t>（10）工作纪律：保安员在工作期间要接受采购人的领导和监督，遵守采购人的有关规章制度及采购人交办的其它相关工作。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（十）</w:t>
            </w:r>
          </w:p>
        </w:tc>
        <w:tc>
          <w:tcPr>
            <w:tcW w:w="851" w:type="dxa"/>
          </w:tcPr>
          <w:p>
            <w:r>
              <w:t>公共区域保洁及服务</w:t>
            </w:r>
          </w:p>
        </w:tc>
        <w:tc>
          <w:tcPr>
            <w:tcW w:w="6804" w:type="dxa"/>
          </w:tcPr>
          <w:p>
            <w:pPr>
              <w:ind w:firstLine="482" w:firstLineChars="200"/>
            </w:pPr>
            <w:r>
              <w:rPr>
                <w:rFonts w:hint="eastAsia" w:ascii="宋体" w:hAnsi="宋体" w:cs="宋体"/>
                <w:b/>
                <w:bCs/>
                <w:color w:val="000000"/>
                <w:kern w:val="0"/>
              </w:rPr>
              <w:t>●</w:t>
            </w:r>
            <w:r>
              <w:t>1、人员设置：</w:t>
            </w:r>
          </w:p>
          <w:p>
            <w:pPr>
              <w:ind w:firstLine="480" w:firstLineChars="200"/>
              <w:jc w:val="left"/>
            </w:pPr>
            <w:r>
              <w:rPr>
                <w:rFonts w:hint="eastAsia"/>
              </w:rPr>
              <w:t>救助站：保洁员4人</w:t>
            </w:r>
          </w:p>
          <w:p>
            <w:pPr>
              <w:ind w:firstLine="480" w:firstLineChars="200"/>
              <w:jc w:val="left"/>
            </w:pPr>
            <w:r>
              <w:rPr>
                <w:rFonts w:hint="eastAsia"/>
              </w:rPr>
              <w:t>福利中心：保洁员2人</w:t>
            </w:r>
          </w:p>
          <w:p>
            <w:pPr>
              <w:ind w:firstLine="480" w:firstLineChars="200"/>
              <w:jc w:val="left"/>
            </w:pPr>
            <w:r>
              <w:rPr>
                <w:rFonts w:hint="eastAsia"/>
              </w:rPr>
              <w:t>室外公共区域：保洁员1人</w:t>
            </w:r>
          </w:p>
          <w:p>
            <w:pPr>
              <w:ind w:firstLine="480" w:firstLineChars="200"/>
              <w:jc w:val="left"/>
            </w:pPr>
            <w:r>
              <w:rPr>
                <w:rFonts w:hint="eastAsia"/>
              </w:rPr>
              <w:t>配套楼：保洁员3人。</w:t>
            </w:r>
          </w:p>
          <w:p>
            <w:pPr>
              <w:ind w:firstLine="480" w:firstLineChars="200"/>
              <w:jc w:val="left"/>
            </w:pPr>
            <w:r>
              <w:t>2、人员要求：</w:t>
            </w:r>
          </w:p>
          <w:p>
            <w:pPr>
              <w:ind w:firstLine="480" w:firstLineChars="200"/>
            </w:pPr>
            <w:r>
              <w:t>（1）护理人员兼保洁员要求50周岁以下，身体健康，无不良嗜好，工作认真负责并定期接受培训。</w:t>
            </w:r>
          </w:p>
          <w:p>
            <w:pPr>
              <w:ind w:firstLine="480" w:firstLineChars="200"/>
            </w:pPr>
            <w:r>
              <w:t>（2）上岗时佩戴统一标志，按需求穿戴统一制服，仪容仪表规范整齐。</w:t>
            </w:r>
          </w:p>
          <w:p>
            <w:pPr>
              <w:ind w:firstLine="480" w:firstLineChars="200"/>
            </w:pPr>
            <w:r>
              <w:t>（3）文明工作，训练有素，言语规范，认真负责。</w:t>
            </w:r>
          </w:p>
          <w:p>
            <w:pPr>
              <w:ind w:firstLine="480" w:firstLineChars="200"/>
              <w:rPr>
                <w:kern w:val="0"/>
              </w:rPr>
            </w:pPr>
            <w:r>
              <w:rPr>
                <w:kern w:val="0"/>
              </w:rPr>
              <w:t xml:space="preserve">  3、服务内容及要求：</w:t>
            </w:r>
          </w:p>
          <w:p>
            <w:pPr>
              <w:ind w:firstLine="480" w:firstLineChars="200"/>
            </w:pPr>
            <w:r>
              <w:t>（1）服务内容： 完成本物业大楼内的楼梯、大厅、走廊、屋顶天台、吊顶、平台、雨棚、卫生间、茶水间、花盆、会议室、接待室、办公区域及单位部分办公室、公共活动场所的台（地）面、明沟、墙面、门、窗、灯具、果壳箱等设施和器皿，楼宇外墙等所有公共部位设施，道路、园林、停车场</w:t>
            </w:r>
            <w:r>
              <w:rPr>
                <w:rFonts w:hint="eastAsia"/>
              </w:rPr>
              <w:t>（</w:t>
            </w:r>
            <w:r>
              <w:t>库</w:t>
            </w:r>
            <w:r>
              <w:rPr>
                <w:rFonts w:hint="eastAsia"/>
              </w:rPr>
              <w:t>）</w:t>
            </w:r>
            <w:r>
              <w:t>、垃圾房等所有公共场地及设施和门前三包"区域的日常保洁保养以及垃圾、废弃物分类、清理和灭“四害”等所有环境卫生保洁。具体如下：</w:t>
            </w:r>
          </w:p>
          <w:p>
            <w:pPr>
              <w:ind w:firstLine="480" w:firstLineChars="200"/>
            </w:pPr>
            <w:r>
              <w:t>（2）公共场所日常服务内容：水泥地面、石材地面、扶手、门窗玻璃、门及门窗框及有关附体，沙发、桌子、各类宣传牌、橱窗及有关附体，天花板、栏杆、消防楼梯区域等，楼道地面、楼梯每周至少拖洗一次，扶手、门每周至少擦抹一次，天花板、公共楼道灯、会议室吊灯：每季至少除尘一次，做到巡回保洁，及时清除各种垃圾等杂物，无积灰、印迹、污渍。</w:t>
            </w:r>
          </w:p>
          <w:p>
            <w:pPr>
              <w:ind w:firstLine="480" w:firstLineChars="200"/>
            </w:pPr>
            <w:r>
              <w:t>（3）门厅、办公区域等特定区域保洁服务内容：地面、大厅石材墙面、天花板、大厅、门窗玻璃、门及门窗框、墙壁附体，灯具、音响、垃圾桶等公用设施表面及卫生间，办公室内储物柜和桌椅表面等严格按要求做好清洁、清运及日常消杀工作，无积灰、印迹、污渍。卫生间每天至少拖洗一次，保持地面清洁、无杂物、无积水、无毛发、无异味、便池、水池下水道要畅通。配备洗手液、卫生纸、擦手纸等相关保洁耗材，每日检查，发现用完及时补充，有破损的及时更换，确保运作正常；瓷砖：2米以下每周擦抹不少于一次；2米以上每季度清洁不少于一次，无明显积灰、水渍；幕墙根据实际情况清洗，每年清洗至少一次，暂时空置的房间每月进行一次卫生保洁，确保地面、桌面、玻璃面整洁干净。白色墙面及顶面如有污渍等应及时清除，墙面去污后及时用乳胶漆补刷。</w:t>
            </w:r>
          </w:p>
          <w:p>
            <w:pPr>
              <w:ind w:firstLine="480" w:firstLineChars="200"/>
            </w:pPr>
            <w:r>
              <w:t>（4）顶篷等边缘区域服务内容：屋顶屋面、沟槽、地</w:t>
            </w:r>
            <w:r>
              <w:rPr>
                <w:rFonts w:hint="eastAsia"/>
              </w:rPr>
              <w:t>、</w:t>
            </w:r>
            <w:r>
              <w:t>雨篷及边角区域，各种附体的表面清洁。</w:t>
            </w:r>
          </w:p>
          <w:p>
            <w:pPr>
              <w:ind w:firstLine="480" w:firstLineChars="200"/>
            </w:pPr>
            <w:r>
              <w:t>（5）水电和设备等设施类服务内容：一般机器表面清洁（有特殊规定的设备除外），消防设施、空调的过滤网际外壳洗尘与保洁。开关盒、表箱盖2米以下的每周擦抹不少于一次；2米以上每月不少于一次，无灰尘、污迹。</w:t>
            </w:r>
          </w:p>
          <w:p>
            <w:pPr>
              <w:ind w:firstLine="480" w:firstLineChars="200"/>
            </w:pPr>
            <w:r>
              <w:t>（6）窗帘服务内容：保持窗帘表面清洁，普通窗帘根据窗帘清洁情况定时拆装清洗，布质窗帘一年清洗不少于一次。</w:t>
            </w:r>
          </w:p>
          <w:p>
            <w:pPr>
              <w:ind w:firstLine="480" w:firstLineChars="200"/>
            </w:pPr>
            <w:r>
              <w:t>（7）玻璃门、地、屏上每日清扫，无污渍、无灰尘及手印，表面光亮色泽一致；地面无污渍、灰尘、水渍及鞋印，洁净光亮、无灰尘及手印，整洁光亮。</w:t>
            </w:r>
          </w:p>
          <w:p>
            <w:pPr>
              <w:ind w:firstLine="480" w:firstLineChars="200"/>
            </w:pPr>
            <w:r>
              <w:t>（8）不锈钢保洁服务内容：包括所有不锈钢制品、设施、设备，除有明确规定的保洁要求外，至少每二个月用不锈钢油保养一次。哑光不锈钢表面无污渍、无灰尘；镜面不锈钢表面光亮，三米内能清晰映出人影。</w:t>
            </w:r>
          </w:p>
          <w:p>
            <w:pPr>
              <w:ind w:firstLine="480" w:firstLineChars="200"/>
            </w:pPr>
            <w:r>
              <w:t>（9）垃圾清运服务内容：按照属地政府相关要求，做好垃圾分类工作（包括分类标识的宣传、分类垃圾桶的摆放、分类垃圾的清理）。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确保排放指标正常。</w:t>
            </w:r>
          </w:p>
          <w:p>
            <w:pPr>
              <w:ind w:firstLine="480" w:firstLineChars="200"/>
            </w:pPr>
            <w:r>
              <w:t>（10）</w:t>
            </w:r>
            <w:r>
              <w:rPr>
                <w:bCs/>
              </w:rPr>
              <w:t>大楼石材日常养护要求</w:t>
            </w:r>
            <w:r>
              <w:rPr>
                <w:b/>
              </w:rPr>
              <w:t>：</w:t>
            </w:r>
            <w:r>
              <w:t>每天用尘推配合静电吸尘剂在大理石表面来回推尘，根据人流量密度确定来回推尘次数。用毛巾配合中性清洗剂进行清洁，然后用干净的湿毛巾擦拭，最后用毛巾吸水至洁净。如有黄色锈斑、黄斑应采用专业石材除锈剂进行处理。目视地面应干净、无杂物、无污渍，大理石地面有光泽。每次打蜡应根据地面面积准备好洗地机、吸水机、抛光机，适量的起蜡水、底蜡、面蜡或石材加光蜡、清洁剂等器具，并检查好器具的安全性能。上蜡均匀，层与层之间要有一定的间隔时间。待面蜡涂完后将打蜡区域封闭6小时左右，并有相应的告示牌。注意施工时间，应与休息或要求静音作业环境的工作时间错开，避免噪音影响；目视地面无灰尘，表面光亮，无污迹和脚印，墙壁、踢脚线、门框下部及家具脚部无蜡迹。每年清洁保养不少于2次。</w:t>
            </w:r>
          </w:p>
          <w:p>
            <w:pPr>
              <w:ind w:firstLine="480" w:firstLineChars="200"/>
            </w:pPr>
            <w:r>
              <w:t>（11）</w:t>
            </w:r>
            <w:r>
              <w:rPr>
                <w:bCs/>
              </w:rPr>
              <w:t>会议服务内容与要求：</w:t>
            </w:r>
            <w:r>
              <w:t xml:space="preserve">会议室依据会议、活动日程安排提前搞好卫生、打好开水，做好会议服务，会议中及时增添茶水，会议或活动结束后打扫干净。会议服务员上岗前要按规定着装，仪容仪表端庄、整洁、精神饱满，提前到达会场。掌握会议室、接待室所有设施性能和技术要求，会操作一般会议音响设备。 </w:t>
            </w:r>
          </w:p>
          <w:p>
            <w:pPr>
              <w:ind w:firstLine="480" w:firstLineChars="200"/>
            </w:pPr>
            <w:r>
              <w:t xml:space="preserve"> 4、服务质量标准：</w:t>
            </w:r>
          </w:p>
          <w:p>
            <w:pPr>
              <w:ind w:firstLine="480" w:firstLineChars="200"/>
            </w:pPr>
            <w:r>
              <w:t>（1）围墙内的道路、停车场门前“三包”及所有公共区域的地面，无有形垃圾和建筑垃圾、无堆积杂物、无积灰、无积水和淤泥、无阻塞等。做到每日清扫两次，巡回保洁。</w:t>
            </w:r>
          </w:p>
          <w:p>
            <w:pPr>
              <w:ind w:firstLine="480" w:firstLineChars="200"/>
            </w:pPr>
            <w:r>
              <w:t>（2）未列入的且为正常保洁工作以及突发性事件造成的保洁工作的项目、部位均包括在本次采购范围内，中标单位不得因此拒绝提供保洁服务（保洁用品等所需费用全部包括在投标报价中）。</w:t>
            </w:r>
          </w:p>
          <w:p>
            <w:pPr>
              <w:ind w:firstLine="480" w:firstLineChars="200"/>
            </w:pPr>
            <w:r>
              <w:t>（3）建立“四害”消杀工作管理制度，根据实际情况定期开展消杀工作，有效控制鼠、蟑、蝇、蚊等害虫孳生，定期对各类病虫害进行预防控制，适时投放消杀药物和设施；“除四害”实施单位具有杭州市鼠害与卫生虫害防制协会颁发的《杭州市病媒生物消杀专业机构资质证书》，提供的服务不得低于杭州市爱卫会“除四害”相关规定及验收标准，并视特殊情况增加次数，相关材料及药品等应计入投标报价。</w:t>
            </w:r>
          </w:p>
          <w:p>
            <w:pPr>
              <w:ind w:firstLine="480" w:firstLineChars="200"/>
            </w:pPr>
            <w:r>
              <w:t xml:space="preserve"> 5、其他：</w:t>
            </w:r>
          </w:p>
          <w:p>
            <w:pPr>
              <w:ind w:firstLine="480" w:firstLineChars="200"/>
            </w:pPr>
            <w:r>
              <w:t>（1）做好孤残儿童及受助人员的送餐及回收工作。</w:t>
            </w:r>
          </w:p>
          <w:p>
            <w:pPr>
              <w:ind w:firstLine="480" w:firstLineChars="200"/>
            </w:pPr>
            <w:r>
              <w:t>（2）保安将日常报刊杂志、桶装水配送、信件信函收转并及时转到相关科室、车辆停放秩序等服务。</w:t>
            </w:r>
          </w:p>
          <w:p>
            <w:pPr>
              <w:ind w:firstLine="480" w:firstLineChars="200"/>
              <w:jc w:val="left"/>
            </w:pPr>
            <w:r>
              <w:t>（3）完成交办的其他事项。</w:t>
            </w:r>
          </w:p>
          <w:p>
            <w:pPr>
              <w:ind w:firstLine="480" w:firstLineChars="200"/>
            </w:pPr>
            <w:r>
              <w:t>（4）工作纪律：保洁员在工作期间要接受采购人的领导和监督，遵守采购人的有关规章制度。</w:t>
            </w:r>
          </w:p>
          <w:p>
            <w:pPr>
              <w:ind w:firstLine="480" w:firstLineChars="200"/>
              <w:jc w:val="left"/>
            </w:pPr>
            <w:r>
              <w:t>（5）在遇到来咨询和求助的人员等需要帮助时，应主动热情。</w:t>
            </w:r>
          </w:p>
          <w:p>
            <w:pPr>
              <w:ind w:firstLine="480" w:firstLineChars="200"/>
            </w:pPr>
            <w:r>
              <w:t>（6）各类拖把、扫把、毛巾、洁厕液、除臭剂、卫生间纸桶等以上卫生间耗材及保洁用品等均由采购方提供，要求每日检查，发现用完及时补充，发现有破损的，应及时更换，确保运作正常。</w:t>
            </w:r>
          </w:p>
        </w:tc>
      </w:tr>
    </w:tbl>
    <w:p>
      <w:pPr>
        <w:rPr>
          <w:b/>
          <w:bCs/>
        </w:rPr>
      </w:pPr>
      <w:r>
        <w:rPr>
          <w:rFonts w:hint="eastAsia"/>
          <w:b/>
          <w:bCs/>
        </w:rPr>
        <w:t>三、</w:t>
      </w:r>
      <w:r>
        <w:rPr>
          <w:b/>
          <w:bCs/>
        </w:rPr>
        <w:t>服务</w:t>
      </w:r>
      <w:r>
        <w:rPr>
          <w:rFonts w:hint="eastAsia"/>
          <w:b/>
          <w:bCs/>
        </w:rPr>
        <w:t>期限</w:t>
      </w:r>
      <w:r>
        <w:rPr>
          <w:b/>
          <w:bCs/>
        </w:rPr>
        <w:t>：</w:t>
      </w:r>
      <w:r>
        <w:rPr>
          <w:b/>
          <w:bCs/>
          <w:color w:val="000000"/>
        </w:rPr>
        <w:t>自合同签订之日起</w:t>
      </w:r>
      <w:r>
        <w:rPr>
          <w:rFonts w:hint="eastAsia"/>
          <w:b/>
          <w:bCs/>
          <w:color w:val="000000"/>
        </w:rPr>
        <w:t>十二个月</w:t>
      </w:r>
    </w:p>
    <w:p>
      <w:pPr>
        <w:jc w:val="left"/>
      </w:pPr>
      <w:r>
        <w:rPr>
          <w:rFonts w:hint="eastAsia"/>
          <w:b/>
          <w:bCs/>
        </w:rPr>
        <w:t>四、培训要求：</w:t>
      </w:r>
      <w:r>
        <w:rPr>
          <w:rFonts w:hint="eastAsia"/>
        </w:rPr>
        <w:t>投标单位具有专属场地进行培训，每年定期组织培训（能提供培训后对人员的评估结果），培训内容包括安保，保洁等与本项目服务相关的内容。</w:t>
      </w:r>
    </w:p>
    <w:p>
      <w:pPr>
        <w:jc w:val="left"/>
      </w:pPr>
      <w:r>
        <w:rPr>
          <w:rFonts w:hint="eastAsia"/>
          <w:b/>
          <w:bCs/>
        </w:rPr>
        <w:t>五</w:t>
      </w:r>
      <w:r>
        <w:rPr>
          <w:b/>
          <w:bCs/>
        </w:rPr>
        <w:t>、</w:t>
      </w:r>
      <w:r>
        <w:rPr>
          <w:rFonts w:hint="eastAsia"/>
          <w:b/>
          <w:bCs/>
        </w:rPr>
        <w:t>考核办法</w:t>
      </w:r>
      <w:r>
        <w:t>：</w:t>
      </w:r>
    </w:p>
    <w:p>
      <w:pPr>
        <w:ind w:firstLine="480" w:firstLineChars="200"/>
      </w:pPr>
      <w:r>
        <w:rPr>
          <w:rFonts w:hint="eastAsia"/>
        </w:rPr>
        <w:t>采购人将根据工作需要和招标文件规定，设定物业管理考核要求，具体内容见附件1“考核标准及打分样表”。</w:t>
      </w:r>
    </w:p>
    <w:p>
      <w:pPr>
        <w:rPr>
          <w:b/>
          <w:bCs/>
        </w:rPr>
      </w:pPr>
      <w:r>
        <w:rPr>
          <w:rFonts w:hint="eastAsia"/>
          <w:b/>
          <w:bCs/>
        </w:rPr>
        <w:t>六</w:t>
      </w:r>
      <w:r>
        <w:rPr>
          <w:b/>
          <w:bCs/>
        </w:rPr>
        <w:t>、履约保证金：</w:t>
      </w:r>
    </w:p>
    <w:p>
      <w:pPr>
        <w:ind w:firstLine="480" w:firstLineChars="200"/>
      </w:pPr>
      <w:r>
        <w:t>合同生效后7个工作日内供应商向采购单位交纳合同金额的5%的履约保证金。</w:t>
      </w:r>
      <w:r>
        <w:rPr>
          <w:rFonts w:hint="eastAsia"/>
        </w:rPr>
        <w:t>以保证中标单位遵守本合同的一切条款、条件和承诺，该保证金在采购人的规定存续期间不计息。</w:t>
      </w:r>
    </w:p>
    <w:p>
      <w:r>
        <w:rPr>
          <w:rFonts w:hint="eastAsia"/>
          <w:b/>
          <w:bCs/>
        </w:rPr>
        <w:t>七、</w:t>
      </w:r>
      <w:r>
        <w:rPr>
          <w:b/>
          <w:bCs/>
        </w:rPr>
        <w:t>费用支付</w:t>
      </w:r>
      <w:r>
        <w:t>：</w:t>
      </w:r>
    </w:p>
    <w:p>
      <w:pPr>
        <w:ind w:firstLine="480" w:firstLineChars="200"/>
        <w:jc w:val="left"/>
      </w:pPr>
      <w:r>
        <w:rPr>
          <w:rFonts w:hint="eastAsia"/>
        </w:rPr>
        <w:t>采购人根据物业服务质量考核结果按季支付物业管理服务费，自合同签订之日起15日内支付年合同价预付款10%，经采购人考核合格后按季付款，每个季度支付合同价1/4×90%</w:t>
      </w:r>
    </w:p>
    <w:p>
      <w:pPr>
        <w:ind w:firstLine="480" w:firstLineChars="200"/>
      </w:pPr>
      <w:r>
        <w:t>合同签订生效以及具备实施条件后15天内，采购单位向中标单位支付合同金额</w:t>
      </w:r>
      <w:r>
        <w:rPr>
          <w:rFonts w:hint="eastAsia"/>
        </w:rPr>
        <w:t>10</w:t>
      </w:r>
      <w:r>
        <w:t xml:space="preserve">％的预付款；采购单位凭发票、确认单以及合同上报区财政，区财政审批下拨款到位后，支付剩余合同价货款。 </w:t>
      </w:r>
    </w:p>
    <w:p>
      <w:pPr>
        <w:rPr>
          <w:b/>
          <w:bCs/>
        </w:rPr>
      </w:pPr>
      <w:r>
        <w:rPr>
          <w:rFonts w:hint="eastAsia"/>
          <w:b/>
          <w:bCs/>
        </w:rPr>
        <w:t>八、</w:t>
      </w:r>
      <w:r>
        <w:rPr>
          <w:b/>
          <w:bCs/>
        </w:rPr>
        <w:t>采购人认为必须说明的其他内容：</w:t>
      </w:r>
    </w:p>
    <w:p>
      <w:pPr>
        <w:ind w:firstLine="480"/>
        <w:rPr>
          <w:b/>
        </w:rPr>
      </w:pPr>
      <w:r>
        <w:rPr>
          <w:rFonts w:hint="eastAsia" w:ascii="宋体" w:hAnsi="宋体" w:cs="宋体"/>
          <w:b/>
          <w:bCs/>
          <w:color w:val="000000"/>
          <w:kern w:val="0"/>
        </w:rPr>
        <w:t>●</w:t>
      </w:r>
      <w:r>
        <w:rPr>
          <w:rFonts w:hint="eastAsia"/>
          <w:b/>
          <w:bCs/>
        </w:rPr>
        <w:t>1、</w:t>
      </w:r>
      <w:r>
        <w:rPr>
          <w:b/>
        </w:rPr>
        <w:t>配合做好疫情防控工作</w:t>
      </w:r>
      <w:r>
        <w:rPr>
          <w:rFonts w:hint="eastAsia"/>
          <w:b/>
        </w:rPr>
        <w:t>：</w:t>
      </w:r>
      <w:r>
        <w:rPr>
          <w:b/>
        </w:rPr>
        <w:t>根据</w:t>
      </w:r>
      <w:r>
        <w:rPr>
          <w:rFonts w:hint="eastAsia"/>
          <w:b/>
        </w:rPr>
        <w:t>社会救助和未成年人救助保护中心</w:t>
      </w:r>
      <w:r>
        <w:rPr>
          <w:b/>
        </w:rPr>
        <w:t>疫情防控要求，必须配合做好相关疫情防控工作，保障人员稳定。</w:t>
      </w:r>
    </w:p>
    <w:p>
      <w:pPr>
        <w:ind w:firstLine="480"/>
      </w:pPr>
      <w:r>
        <w:rPr>
          <w:rFonts w:hint="eastAsia"/>
        </w:rPr>
        <w:t>2、</w:t>
      </w:r>
      <w:r>
        <w:t>管理服务应达到的指标</w:t>
      </w:r>
      <w:r>
        <w:rPr>
          <w:rFonts w:hint="eastAsia"/>
        </w:rPr>
        <w:t>：</w:t>
      </w:r>
    </w:p>
    <w:p>
      <w:pPr>
        <w:ind w:firstLine="480" w:firstLineChars="200"/>
      </w:pPr>
      <w:r>
        <w:rPr>
          <w:rFonts w:hint="eastAsia"/>
        </w:rPr>
        <w:t>1）</w:t>
      </w:r>
      <w:r>
        <w:t>通过努力达到“三优一保证”（优美环境、优质服务、优化功能、保证安全）；</w:t>
      </w:r>
    </w:p>
    <w:p>
      <w:pPr>
        <w:ind w:firstLine="480" w:firstLineChars="200"/>
      </w:pPr>
      <w:r>
        <w:rPr>
          <w:rFonts w:hint="eastAsia"/>
        </w:rPr>
        <w:t>2）</w:t>
      </w:r>
      <w:r>
        <w:t>环境卫生、清洁率达99%；零修、报修及时率100%，返修率小于1%；</w:t>
      </w:r>
    </w:p>
    <w:p>
      <w:pPr>
        <w:ind w:firstLine="480"/>
        <w:rPr>
          <w:b/>
          <w:bCs/>
        </w:rPr>
      </w:pPr>
      <w:r>
        <w:rPr>
          <w:rFonts w:hint="eastAsia"/>
        </w:rPr>
        <w:t>3）</w:t>
      </w:r>
      <w:r>
        <w:t>服务有效投诉少于1%，处理率100%；采购人满意率95%以上。</w:t>
      </w:r>
    </w:p>
    <w:p>
      <w:pPr>
        <w:ind w:firstLine="480" w:firstLineChars="200"/>
        <w:rPr>
          <w:bCs/>
        </w:rPr>
      </w:pPr>
      <w:r>
        <w:rPr>
          <w:rFonts w:hint="eastAsia"/>
          <w:bCs/>
        </w:rPr>
        <w:t>3、</w:t>
      </w:r>
      <w:r>
        <w:rPr>
          <w:bCs/>
        </w:rPr>
        <w:t>收费标准必须遵照国家、地方物业管理服务收费规定，按物业管理的服务项目、服务内容、服务深度，测算物业管理服务收费标准，严格按合同规定的收费标准收取，不得擅自加价，不得只收费不服务或多收费少服务。</w:t>
      </w:r>
    </w:p>
    <w:p>
      <w:pPr>
        <w:ind w:firstLine="480" w:firstLineChars="200"/>
        <w:rPr>
          <w:bCs/>
        </w:rPr>
      </w:pPr>
      <w:r>
        <w:rPr>
          <w:rFonts w:eastAsiaTheme="minorEastAsia"/>
        </w:rPr>
        <w:t xml:space="preserve"> </w:t>
      </w:r>
      <w:r>
        <w:rPr>
          <w:rFonts w:asciiTheme="minorEastAsia" w:hAnsiTheme="minorEastAsia" w:eastAsiaTheme="minorEastAsia"/>
          <w:b/>
          <w:bCs/>
          <w:color w:val="000000"/>
          <w:kern w:val="0"/>
        </w:rPr>
        <w:t>●</w:t>
      </w:r>
      <w:r>
        <w:rPr>
          <w:rFonts w:eastAsiaTheme="minorEastAsia"/>
          <w:b/>
        </w:rPr>
        <w:t>3、</w:t>
      </w:r>
      <w:r>
        <w:rPr>
          <w:rFonts w:eastAsiaTheme="minorEastAsia"/>
          <w:b/>
          <w:bCs/>
          <w:color w:val="000000"/>
        </w:rPr>
        <w:t>有关服务工种的人员，必须按国家规定具备“健康证”条件，要求持证上岗；并按国家有关部门规定定期体检且有年审合格记录</w:t>
      </w:r>
      <w:r>
        <w:rPr>
          <w:rFonts w:eastAsiaTheme="minorEastAsia"/>
          <w:b/>
          <w:color w:val="000000"/>
        </w:rPr>
        <w:t>。</w:t>
      </w:r>
    </w:p>
    <w:p>
      <w:pPr>
        <w:ind w:firstLine="482" w:firstLineChars="200"/>
        <w:rPr>
          <w:rFonts w:eastAsiaTheme="minorEastAsia"/>
        </w:rPr>
      </w:pPr>
      <w:r>
        <w:rPr>
          <w:rFonts w:eastAsiaTheme="minorEastAsia"/>
          <w:b/>
          <w:color w:val="000000"/>
        </w:rPr>
        <w:t xml:space="preserve"> 4、带“</w:t>
      </w:r>
      <w:r>
        <w:rPr>
          <w:rFonts w:asciiTheme="minorEastAsia" w:hAnsiTheme="minorEastAsia" w:eastAsiaTheme="minorEastAsia"/>
          <w:b/>
          <w:color w:val="000000"/>
        </w:rPr>
        <w:t>●</w:t>
      </w:r>
      <w:r>
        <w:rPr>
          <w:rFonts w:eastAsiaTheme="minorEastAsia"/>
          <w:b/>
          <w:color w:val="000000"/>
        </w:rPr>
        <w:t>”条款为实质性条款，投标人须提供《采购需求实质性内容响应表》（格式见 第六章 投标文件格式），如有任意一条未响应或不满足，将被视为投标无效。</w:t>
      </w:r>
    </w:p>
    <w:p>
      <w:pPr>
        <w:adjustRightInd w:val="0"/>
        <w:snapToGrid w:val="0"/>
        <w:spacing w:before="156" w:beforeLines="50" w:after="156" w:afterLines="50"/>
      </w:pPr>
      <w:r>
        <w:rPr>
          <w:bCs/>
          <w:color w:val="000000"/>
        </w:rPr>
        <w:br w:type="page"/>
      </w:r>
      <w:r>
        <w:t>附</w:t>
      </w:r>
      <w:r>
        <w:rPr>
          <w:rFonts w:hint="eastAsia"/>
        </w:rPr>
        <w:t>件</w:t>
      </w:r>
      <w:r>
        <w:t>：</w:t>
      </w:r>
    </w:p>
    <w:p>
      <w:pPr>
        <w:adjustRightInd w:val="0"/>
        <w:snapToGrid w:val="0"/>
        <w:spacing w:before="156" w:beforeLines="50" w:after="156" w:afterLines="50"/>
        <w:ind w:firstLine="562" w:firstLineChars="200"/>
        <w:jc w:val="center"/>
        <w:rPr>
          <w:b/>
          <w:sz w:val="28"/>
        </w:rPr>
      </w:pPr>
      <w:r>
        <w:rPr>
          <w:b/>
          <w:sz w:val="28"/>
        </w:rPr>
        <w:t>考核标准及打分样表</w:t>
      </w:r>
    </w:p>
    <w:p>
      <w:pPr>
        <w:adjustRightInd w:val="0"/>
        <w:snapToGrid w:val="0"/>
        <w:spacing w:before="156" w:beforeLines="50" w:after="156" w:afterLines="50"/>
        <w:ind w:firstLine="360" w:firstLineChars="150"/>
      </w:pPr>
      <w:r>
        <w:rPr>
          <w:rFonts w:hint="eastAsia"/>
        </w:rPr>
        <w:t>1、</w:t>
      </w:r>
      <w:r>
        <w:t>由采购人考核小组根据平时督查结果负责日常考核工作；</w:t>
      </w:r>
    </w:p>
    <w:p>
      <w:pPr>
        <w:adjustRightInd w:val="0"/>
        <w:snapToGrid w:val="0"/>
        <w:spacing w:before="156" w:beforeLines="50" w:after="156" w:afterLines="50"/>
        <w:ind w:firstLine="360" w:firstLineChars="150"/>
      </w:pPr>
      <w:r>
        <w:rPr>
          <w:rFonts w:hint="eastAsia"/>
        </w:rPr>
        <w:t>2、</w:t>
      </w:r>
      <w:r>
        <w:t>每月对中标单位进行一次考核，以书面形式通知；</w:t>
      </w:r>
    </w:p>
    <w:p>
      <w:pPr>
        <w:adjustRightInd w:val="0"/>
        <w:snapToGrid w:val="0"/>
        <w:spacing w:before="156" w:beforeLines="50" w:after="156" w:afterLines="50"/>
        <w:ind w:firstLine="360" w:firstLineChars="150"/>
      </w:pPr>
      <w:r>
        <w:rPr>
          <w:rFonts w:hint="eastAsia"/>
        </w:rPr>
        <w:t>3、</w:t>
      </w:r>
      <w:r>
        <w:t>考核内容严格对照物业各个项目，并按具体物业要求认真考核；</w:t>
      </w:r>
    </w:p>
    <w:p>
      <w:pPr>
        <w:adjustRightInd w:val="0"/>
        <w:snapToGrid w:val="0"/>
        <w:spacing w:before="156" w:beforeLines="50" w:after="156" w:afterLines="50"/>
        <w:ind w:firstLine="360" w:firstLineChars="150"/>
      </w:pPr>
      <w:r>
        <w:rPr>
          <w:rFonts w:hint="eastAsia"/>
        </w:rPr>
        <w:t>4、</w:t>
      </w:r>
      <w:r>
        <w:t>考核标准：考核分为100分，其中：整体管理（20分）；保安管理（30分）；保洁管理（25分）；维修管理（25分）。月考核95分（含）及以上得全额合同款；月考核低于95分至85分(含）的，每分扣500元；月考核低于85分部分，每分扣800元。</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4537"/>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before="156" w:beforeLines="50" w:after="156" w:afterLines="50"/>
              <w:rPr>
                <w:b/>
              </w:rPr>
            </w:pPr>
            <w:r>
              <w:rPr>
                <w:b/>
              </w:rPr>
              <w:t>一、保安及门卫管理</w:t>
            </w:r>
          </w:p>
        </w:tc>
        <w:tc>
          <w:tcPr>
            <w:tcW w:w="4537" w:type="dxa"/>
            <w:vAlign w:val="center"/>
          </w:tcPr>
          <w:p>
            <w:pPr>
              <w:spacing w:before="156" w:beforeLines="50" w:after="156" w:afterLines="50"/>
              <w:ind w:firstLine="482" w:firstLineChars="200"/>
              <w:jc w:val="center"/>
              <w:rPr>
                <w:b/>
              </w:rPr>
            </w:pPr>
            <w:r>
              <w:rPr>
                <w:b/>
              </w:rPr>
              <w:t>合同义务</w:t>
            </w:r>
          </w:p>
        </w:tc>
        <w:tc>
          <w:tcPr>
            <w:tcW w:w="2690" w:type="dxa"/>
            <w:vAlign w:val="center"/>
          </w:tcPr>
          <w:p>
            <w:pPr>
              <w:spacing w:before="156" w:beforeLines="50" w:after="156" w:afterLines="50"/>
              <w:rPr>
                <w:b/>
              </w:rPr>
            </w:pPr>
            <w:r>
              <w:rPr>
                <w:b/>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Merge w:val="restart"/>
            <w:vAlign w:val="center"/>
          </w:tcPr>
          <w:p>
            <w:pPr>
              <w:spacing w:before="156" w:beforeLines="50" w:after="156" w:afterLines="50"/>
              <w:ind w:firstLine="480" w:firstLineChars="200"/>
              <w:jc w:val="center"/>
            </w:pPr>
            <w:r>
              <w:rPr>
                <w:rFonts w:hint="eastAsia"/>
              </w:rPr>
              <w:t>保安管理（30分）</w:t>
            </w:r>
          </w:p>
        </w:tc>
        <w:tc>
          <w:tcPr>
            <w:tcW w:w="4537" w:type="dxa"/>
          </w:tcPr>
          <w:p>
            <w:pPr>
              <w:spacing w:before="156" w:beforeLines="50" w:after="156" w:afterLines="50"/>
              <w:ind w:firstLine="480" w:firstLineChars="200"/>
            </w:pPr>
            <w:r>
              <w:rPr>
                <w:rFonts w:hint="eastAsia"/>
              </w:rPr>
              <w:t>提供</w:t>
            </w:r>
            <w:r>
              <w:t>人员交接班记录</w:t>
            </w:r>
          </w:p>
        </w:tc>
        <w:tc>
          <w:tcPr>
            <w:tcW w:w="2690" w:type="dxa"/>
          </w:tcPr>
          <w:p>
            <w:pPr>
              <w:spacing w:before="156" w:beforeLines="50" w:after="156" w:afterLines="50"/>
              <w:ind w:firstLine="480" w:firstLineChars="200"/>
            </w:pPr>
            <w:r>
              <w:rPr>
                <w:rFonts w:hint="eastAsia"/>
              </w:rPr>
              <w:t>未按要求发现一次扣一分（3分）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Merge w:val="continue"/>
            <w:vAlign w:val="center"/>
          </w:tcPr>
          <w:p>
            <w:pPr>
              <w:spacing w:before="156" w:beforeLines="50" w:after="156" w:afterLines="50"/>
              <w:ind w:firstLine="480" w:firstLineChars="200"/>
              <w:jc w:val="center"/>
            </w:pPr>
          </w:p>
        </w:tc>
        <w:tc>
          <w:tcPr>
            <w:tcW w:w="4537" w:type="dxa"/>
          </w:tcPr>
          <w:p>
            <w:pPr>
              <w:spacing w:before="156" w:beforeLines="50" w:after="156" w:afterLines="50"/>
              <w:ind w:firstLine="480" w:firstLineChars="200"/>
            </w:pPr>
            <w:r>
              <w:rPr>
                <w:rFonts w:hint="eastAsia"/>
              </w:rPr>
              <w:t>提供</w:t>
            </w:r>
            <w:r>
              <w:t>进出人员登记记录</w:t>
            </w:r>
          </w:p>
        </w:tc>
        <w:tc>
          <w:tcPr>
            <w:tcW w:w="2690" w:type="dxa"/>
          </w:tcPr>
          <w:p>
            <w:pPr>
              <w:spacing w:before="156" w:beforeLines="50" w:after="156" w:afterLines="50"/>
              <w:ind w:firstLine="480" w:firstLineChars="200"/>
            </w:pPr>
            <w:r>
              <w:rPr>
                <w:rFonts w:hint="eastAsia"/>
              </w:rPr>
              <w:t>未按要求发现一次扣一分（3分）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Merge w:val="continue"/>
            <w:vAlign w:val="center"/>
          </w:tcPr>
          <w:p>
            <w:pPr>
              <w:spacing w:before="156" w:beforeLines="50" w:after="156" w:afterLines="50"/>
              <w:ind w:firstLine="480" w:firstLineChars="200"/>
              <w:jc w:val="center"/>
            </w:pPr>
          </w:p>
        </w:tc>
        <w:tc>
          <w:tcPr>
            <w:tcW w:w="4537" w:type="dxa"/>
          </w:tcPr>
          <w:p>
            <w:pPr>
              <w:spacing w:before="156" w:beforeLines="50" w:after="156" w:afterLines="50"/>
              <w:ind w:firstLine="480" w:firstLineChars="200"/>
            </w:pPr>
            <w:r>
              <w:rPr>
                <w:rFonts w:hint="eastAsia"/>
              </w:rPr>
              <w:t>进行</w:t>
            </w:r>
            <w:r>
              <w:t>日常巡查</w:t>
            </w:r>
          </w:p>
        </w:tc>
        <w:tc>
          <w:tcPr>
            <w:tcW w:w="2690" w:type="dxa"/>
          </w:tcPr>
          <w:p>
            <w:pPr>
              <w:spacing w:before="156" w:beforeLines="50" w:after="156" w:afterLines="50"/>
              <w:ind w:firstLine="480" w:firstLineChars="200"/>
            </w:pPr>
            <w:r>
              <w:rPr>
                <w:rFonts w:hint="eastAsia"/>
              </w:rPr>
              <w:t>未按要求发现一次扣一分（3分）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784" w:type="dxa"/>
            <w:vMerge w:val="continue"/>
            <w:vAlign w:val="center"/>
          </w:tcPr>
          <w:p>
            <w:pPr>
              <w:spacing w:before="156" w:beforeLines="50" w:after="156" w:afterLines="50"/>
              <w:ind w:firstLine="480" w:firstLineChars="200"/>
              <w:jc w:val="center"/>
            </w:pPr>
          </w:p>
        </w:tc>
        <w:tc>
          <w:tcPr>
            <w:tcW w:w="4537" w:type="dxa"/>
          </w:tcPr>
          <w:p>
            <w:pPr>
              <w:spacing w:before="156" w:beforeLines="50" w:after="156" w:afterLines="50"/>
              <w:ind w:firstLine="480" w:firstLineChars="200"/>
            </w:pPr>
            <w:r>
              <w:t>做好每天检查监控室值班及监控记录</w:t>
            </w:r>
          </w:p>
        </w:tc>
        <w:tc>
          <w:tcPr>
            <w:tcW w:w="2690" w:type="dxa"/>
          </w:tcPr>
          <w:p>
            <w:pPr>
              <w:spacing w:before="156" w:beforeLines="50" w:after="156" w:afterLines="50"/>
              <w:ind w:firstLine="480" w:firstLineChars="200"/>
            </w:pPr>
            <w:r>
              <w:rPr>
                <w:rFonts w:hint="eastAsia"/>
              </w:rPr>
              <w:t>未按要求发现一次扣一分（3分）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84" w:type="dxa"/>
            <w:vMerge w:val="continue"/>
            <w:vAlign w:val="center"/>
          </w:tcPr>
          <w:p>
            <w:pPr>
              <w:spacing w:before="156" w:beforeLines="50" w:after="156" w:afterLines="50"/>
              <w:ind w:firstLine="480" w:firstLineChars="200"/>
              <w:jc w:val="center"/>
            </w:pPr>
          </w:p>
        </w:tc>
        <w:tc>
          <w:tcPr>
            <w:tcW w:w="4537" w:type="dxa"/>
          </w:tcPr>
          <w:p>
            <w:pPr>
              <w:spacing w:before="156" w:beforeLines="50" w:after="156" w:afterLines="50"/>
              <w:ind w:firstLine="480" w:firstLineChars="200"/>
            </w:pPr>
            <w:r>
              <w:t>熟悉所辖区域内各监控点位置，发现情况及时向主管领导报告</w:t>
            </w:r>
          </w:p>
        </w:tc>
        <w:tc>
          <w:tcPr>
            <w:tcW w:w="2690" w:type="dxa"/>
          </w:tcPr>
          <w:p>
            <w:pPr>
              <w:spacing w:before="156" w:beforeLines="50" w:after="156" w:afterLines="50"/>
              <w:ind w:firstLine="480" w:firstLineChars="200"/>
            </w:pPr>
            <w:r>
              <w:rPr>
                <w:rFonts w:hint="eastAsia"/>
              </w:rPr>
              <w:t>未及时汇报导致损失扣1-5分（5分）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84" w:type="dxa"/>
            <w:vMerge w:val="continue"/>
            <w:vAlign w:val="center"/>
          </w:tcPr>
          <w:p>
            <w:pPr>
              <w:spacing w:before="156" w:beforeLines="50" w:after="156" w:afterLines="50"/>
              <w:ind w:firstLine="480" w:firstLineChars="200"/>
              <w:jc w:val="center"/>
            </w:pPr>
          </w:p>
        </w:tc>
        <w:tc>
          <w:tcPr>
            <w:tcW w:w="4537" w:type="dxa"/>
          </w:tcPr>
          <w:p>
            <w:pPr>
              <w:spacing w:before="156" w:beforeLines="50" w:after="156" w:afterLines="50"/>
              <w:ind w:firstLine="480" w:firstLineChars="200"/>
            </w:pPr>
            <w:r>
              <w:t>实行24小时值班制度且不得擅自离岗</w:t>
            </w:r>
          </w:p>
        </w:tc>
        <w:tc>
          <w:tcPr>
            <w:tcW w:w="2690" w:type="dxa"/>
          </w:tcPr>
          <w:p>
            <w:pPr>
              <w:spacing w:before="156" w:beforeLines="50" w:after="156" w:afterLines="50"/>
              <w:ind w:firstLine="480" w:firstLineChars="200"/>
            </w:pPr>
            <w:r>
              <w:rPr>
                <w:rFonts w:hint="eastAsia"/>
              </w:rPr>
              <w:t>发现一次扣一分（3分）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84" w:type="dxa"/>
            <w:vMerge w:val="continue"/>
            <w:vAlign w:val="center"/>
          </w:tcPr>
          <w:p>
            <w:pPr>
              <w:spacing w:before="156" w:beforeLines="50" w:after="156" w:afterLines="50"/>
              <w:ind w:firstLine="480" w:firstLineChars="200"/>
              <w:jc w:val="center"/>
            </w:pPr>
          </w:p>
        </w:tc>
        <w:tc>
          <w:tcPr>
            <w:tcW w:w="4537" w:type="dxa"/>
          </w:tcPr>
          <w:p>
            <w:pPr>
              <w:spacing w:before="156" w:beforeLines="50" w:after="156" w:afterLines="50"/>
              <w:ind w:firstLine="480" w:firstLineChars="200"/>
            </w:pPr>
            <w:r>
              <w:t>接到火警、警情等应3分钟内到达现场做有效处置，同时报负责人并根据要求与警方联系与协调。</w:t>
            </w:r>
          </w:p>
        </w:tc>
        <w:tc>
          <w:tcPr>
            <w:tcW w:w="2690" w:type="dxa"/>
          </w:tcPr>
          <w:p>
            <w:pPr>
              <w:spacing w:before="156" w:beforeLines="50" w:after="156" w:afterLines="50"/>
              <w:ind w:firstLine="480" w:firstLineChars="200"/>
            </w:pPr>
            <w:r>
              <w:rPr>
                <w:rFonts w:hint="eastAsia"/>
              </w:rPr>
              <w:t>未及时到岗处理造成损失扣1-10分（10分）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before="156" w:beforeLines="50" w:after="156" w:afterLines="50"/>
              <w:ind w:firstLine="482" w:firstLineChars="200"/>
              <w:jc w:val="center"/>
              <w:rPr>
                <w:b/>
              </w:rPr>
            </w:pPr>
            <w:r>
              <w:rPr>
                <w:b/>
              </w:rPr>
              <w:t>二、</w:t>
            </w:r>
            <w:r>
              <w:rPr>
                <w:rFonts w:hint="eastAsia"/>
                <w:b/>
              </w:rPr>
              <w:t>保洁管理</w:t>
            </w:r>
          </w:p>
        </w:tc>
        <w:tc>
          <w:tcPr>
            <w:tcW w:w="4537" w:type="dxa"/>
            <w:vAlign w:val="center"/>
          </w:tcPr>
          <w:p>
            <w:pPr>
              <w:spacing w:before="156" w:beforeLines="50" w:after="156" w:afterLines="50"/>
              <w:ind w:firstLine="482" w:firstLineChars="200"/>
              <w:jc w:val="center"/>
            </w:pPr>
            <w:r>
              <w:rPr>
                <w:b/>
              </w:rPr>
              <w:t>合同义务</w:t>
            </w:r>
          </w:p>
        </w:tc>
        <w:tc>
          <w:tcPr>
            <w:tcW w:w="2690" w:type="dxa"/>
            <w:vAlign w:val="center"/>
          </w:tcPr>
          <w:p>
            <w:pPr>
              <w:spacing w:before="156" w:beforeLines="50" w:after="156" w:afterLines="50"/>
              <w:ind w:firstLine="482" w:firstLineChars="200"/>
              <w:jc w:val="center"/>
            </w:pPr>
            <w:r>
              <w:rPr>
                <w:b/>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784" w:type="dxa"/>
            <w:vMerge w:val="restart"/>
            <w:vAlign w:val="center"/>
          </w:tcPr>
          <w:p>
            <w:pPr>
              <w:spacing w:before="156" w:beforeLines="50" w:after="156" w:afterLines="50"/>
              <w:ind w:firstLine="480" w:firstLineChars="200"/>
              <w:jc w:val="center"/>
            </w:pPr>
            <w:r>
              <w:rPr>
                <w:rFonts w:hint="eastAsia"/>
              </w:rPr>
              <w:t>保洁管理（25分）</w:t>
            </w:r>
          </w:p>
        </w:tc>
        <w:tc>
          <w:tcPr>
            <w:tcW w:w="4537" w:type="dxa"/>
          </w:tcPr>
          <w:p>
            <w:pPr>
              <w:spacing w:before="156" w:beforeLines="50" w:after="156" w:afterLines="50"/>
              <w:ind w:firstLine="480" w:firstLineChars="200"/>
            </w:pPr>
            <w:r>
              <w:t>公用设施、区域表面及时除尘，做到整个区域巡回保洁，及时清除各种垃圾等杂物，无积灰、印迹、污渍</w:t>
            </w:r>
          </w:p>
        </w:tc>
        <w:tc>
          <w:tcPr>
            <w:tcW w:w="2690" w:type="dxa"/>
          </w:tcPr>
          <w:p>
            <w:pPr>
              <w:spacing w:before="156" w:beforeLines="50" w:after="156" w:afterLines="50"/>
              <w:ind w:firstLine="480" w:firstLineChars="200"/>
            </w:pPr>
            <w:r>
              <w:rPr>
                <w:rFonts w:hint="eastAsia"/>
              </w:rPr>
              <w:t>未按要求发现一次扣一分（3分）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2" w:hRule="atLeast"/>
          <w:jc w:val="center"/>
        </w:trPr>
        <w:tc>
          <w:tcPr>
            <w:tcW w:w="1784" w:type="dxa"/>
            <w:vMerge w:val="continue"/>
            <w:vAlign w:val="center"/>
          </w:tcPr>
          <w:p>
            <w:pPr>
              <w:spacing w:before="156" w:beforeLines="50" w:after="156" w:afterLines="50"/>
              <w:ind w:firstLine="480" w:firstLineChars="200"/>
              <w:jc w:val="center"/>
            </w:pPr>
          </w:p>
        </w:tc>
        <w:tc>
          <w:tcPr>
            <w:tcW w:w="4537" w:type="dxa"/>
          </w:tcPr>
          <w:p>
            <w:pPr>
              <w:spacing w:before="156" w:beforeLines="50" w:after="156" w:afterLines="50"/>
              <w:ind w:firstLine="480" w:firstLineChars="200"/>
            </w:pPr>
            <w:r>
              <w:t>卫生间每天至少拖洗一次，保持地面清洁、无杂物、无积水、无毛发、无异味、便池、水池下水道要畅通；耗材及时补充、更换</w:t>
            </w:r>
            <w:r>
              <w:rPr>
                <w:rFonts w:hint="eastAsia"/>
              </w:rPr>
              <w:t>。</w:t>
            </w:r>
            <w:r>
              <w:t>各类拖把、扫把、毛巾、洁厕液、除臭剂、卫生间纸桶等以上卫生间耗材及保洁用品等均由采购方提供，要求每日检查，发现用完及时补充，发现有破损的，应及时更换，确保运作正常。</w:t>
            </w:r>
          </w:p>
        </w:tc>
        <w:tc>
          <w:tcPr>
            <w:tcW w:w="2690" w:type="dxa"/>
          </w:tcPr>
          <w:p>
            <w:pPr>
              <w:spacing w:before="156" w:beforeLines="50" w:after="156" w:afterLines="50"/>
              <w:ind w:firstLine="480" w:firstLineChars="200"/>
            </w:pPr>
            <w:r>
              <w:rPr>
                <w:rFonts w:hint="eastAsia"/>
              </w:rPr>
              <w:t>每日检查发现不符合要求的发现一次扣一分（7分）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84" w:type="dxa"/>
            <w:vMerge w:val="continue"/>
            <w:vAlign w:val="center"/>
          </w:tcPr>
          <w:p>
            <w:pPr>
              <w:spacing w:before="156" w:beforeLines="50" w:after="156" w:afterLines="50"/>
              <w:ind w:firstLine="480" w:firstLineChars="200"/>
              <w:jc w:val="center"/>
            </w:pPr>
          </w:p>
        </w:tc>
        <w:tc>
          <w:tcPr>
            <w:tcW w:w="4537" w:type="dxa"/>
          </w:tcPr>
          <w:p>
            <w:pPr>
              <w:spacing w:before="156" w:beforeLines="50" w:after="156" w:afterLines="50"/>
              <w:ind w:firstLine="480" w:firstLineChars="200"/>
            </w:pPr>
            <w:r>
              <w:t>保持窗帘表面清洁</w:t>
            </w:r>
            <w:r>
              <w:rPr>
                <w:rFonts w:hint="eastAsia"/>
              </w:rPr>
              <w:t>（</w:t>
            </w:r>
            <w:r>
              <w:t>布质窗帘一年清洗不少于一次其他材质窗帘定时拆装清洗</w:t>
            </w:r>
            <w:r>
              <w:rPr>
                <w:rFonts w:hint="eastAsia"/>
              </w:rPr>
              <w:t>）</w:t>
            </w:r>
            <w:r>
              <w:t>。消防设施、空调的过滤网际外壳洗尘与保洁</w:t>
            </w:r>
          </w:p>
        </w:tc>
        <w:tc>
          <w:tcPr>
            <w:tcW w:w="2690" w:type="dxa"/>
          </w:tcPr>
          <w:p>
            <w:pPr>
              <w:spacing w:before="156" w:beforeLines="50" w:after="156" w:afterLines="50"/>
              <w:ind w:firstLine="480" w:firstLineChars="200"/>
            </w:pPr>
            <w:r>
              <w:rPr>
                <w:rFonts w:hint="eastAsia"/>
              </w:rPr>
              <w:t>未按要求发现一次扣一分（1分）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784" w:type="dxa"/>
            <w:vMerge w:val="continue"/>
            <w:vAlign w:val="center"/>
          </w:tcPr>
          <w:p>
            <w:pPr>
              <w:spacing w:before="156" w:beforeLines="50" w:after="156" w:afterLines="50"/>
              <w:ind w:firstLine="480" w:firstLineChars="200"/>
              <w:jc w:val="center"/>
            </w:pPr>
          </w:p>
        </w:tc>
        <w:tc>
          <w:tcPr>
            <w:tcW w:w="4537" w:type="dxa"/>
          </w:tcPr>
          <w:p>
            <w:pPr>
              <w:spacing w:before="156" w:beforeLines="50" w:after="156" w:afterLines="50"/>
              <w:ind w:firstLine="480" w:firstLineChars="200"/>
            </w:pPr>
            <w:r>
              <w:rPr>
                <w:rFonts w:hint="eastAsia"/>
              </w:rPr>
              <w:t>9：15</w:t>
            </w:r>
            <w:r>
              <w:t>前必须完成办公室区域卫生清理</w:t>
            </w:r>
            <w:r>
              <w:rPr>
                <w:rFonts w:hint="eastAsia"/>
              </w:rPr>
              <w:t>（工作人员因故外出无法清理的情况除外）</w:t>
            </w:r>
          </w:p>
        </w:tc>
        <w:tc>
          <w:tcPr>
            <w:tcW w:w="2690" w:type="dxa"/>
          </w:tcPr>
          <w:p>
            <w:pPr>
              <w:spacing w:before="156" w:beforeLines="50" w:after="156" w:afterLines="50"/>
              <w:ind w:firstLine="480" w:firstLineChars="200"/>
              <w:jc w:val="center"/>
            </w:pPr>
            <w:r>
              <w:rPr>
                <w:rFonts w:hint="eastAsia"/>
              </w:rPr>
              <w:t>未按要求发现一次扣一分（5分）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上岗时佩戴统一标志，按需求穿戴统一制服，仪容仪表规范整齐。</w:t>
            </w:r>
          </w:p>
        </w:tc>
        <w:tc>
          <w:tcPr>
            <w:tcW w:w="2690" w:type="dxa"/>
            <w:vAlign w:val="center"/>
          </w:tcPr>
          <w:p>
            <w:pPr>
              <w:spacing w:before="156" w:beforeLines="50" w:after="156" w:afterLines="50"/>
              <w:ind w:firstLine="480" w:firstLineChars="200"/>
            </w:pPr>
            <w:r>
              <w:rPr>
                <w:rFonts w:hint="eastAsia"/>
              </w:rPr>
              <w:t>未按要求发现一次扣一分（3分）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建立定期除草、修剪</w:t>
            </w:r>
            <w:r>
              <w:rPr>
                <w:rFonts w:hint="eastAsia"/>
              </w:rPr>
              <w:t>方案</w:t>
            </w:r>
            <w:r>
              <w:t>，确保绿化无杂草、造型规整及时喷洒农药、浇水施肥，确保绿化养护期内存活</w:t>
            </w:r>
          </w:p>
        </w:tc>
        <w:tc>
          <w:tcPr>
            <w:tcW w:w="2690" w:type="dxa"/>
            <w:vAlign w:val="center"/>
          </w:tcPr>
          <w:p>
            <w:pPr>
              <w:spacing w:before="156" w:beforeLines="50" w:after="156" w:afterLines="50"/>
              <w:ind w:firstLine="480" w:firstLineChars="200"/>
            </w:pPr>
            <w:r>
              <w:rPr>
                <w:rFonts w:hint="eastAsia"/>
              </w:rPr>
              <w:t>未按要求发现一次扣一分（3分）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pPr>
            <w:r>
              <w:t xml:space="preserve"> 落实责任人，实行巡查制度，建档记录。</w:t>
            </w:r>
          </w:p>
        </w:tc>
        <w:tc>
          <w:tcPr>
            <w:tcW w:w="2690" w:type="dxa"/>
            <w:vAlign w:val="center"/>
          </w:tcPr>
          <w:p>
            <w:pPr>
              <w:spacing w:before="156" w:beforeLines="50" w:after="156" w:afterLines="50"/>
              <w:ind w:firstLine="480" w:firstLineChars="200"/>
            </w:pPr>
            <w:r>
              <w:rPr>
                <w:rFonts w:hint="eastAsia"/>
              </w:rPr>
              <w:t>未按要求记录档案一次扣一分（3分）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restart"/>
            <w:vAlign w:val="center"/>
          </w:tcPr>
          <w:p>
            <w:pPr>
              <w:spacing w:before="156" w:beforeLines="50" w:after="156" w:afterLines="50"/>
              <w:ind w:firstLine="480" w:firstLineChars="200"/>
              <w:jc w:val="center"/>
            </w:pPr>
            <w:r>
              <w:rPr>
                <w:rFonts w:hint="eastAsia"/>
              </w:rPr>
              <w:t>维修管理（25分）</w:t>
            </w:r>
          </w:p>
        </w:tc>
        <w:tc>
          <w:tcPr>
            <w:tcW w:w="4537" w:type="dxa"/>
            <w:vAlign w:val="center"/>
          </w:tcPr>
          <w:p>
            <w:pPr>
              <w:spacing w:before="156" w:beforeLines="50" w:after="156" w:afterLines="50"/>
              <w:ind w:firstLine="480" w:firstLineChars="200"/>
            </w:pPr>
            <w:r>
              <w:t>对物业管理区域室内外给排水系统的设备、设施，如水泵、水箱、气压给水装置、水处理设备、消火栓、管道、管件、阀门、水嘴、卫生洁具、排水管、透气管、水封设备、室外排水管及附属构筑物等进行日常养护维修，保持正常运行。</w:t>
            </w:r>
          </w:p>
        </w:tc>
        <w:tc>
          <w:tcPr>
            <w:tcW w:w="2690" w:type="dxa"/>
            <w:vAlign w:val="center"/>
          </w:tcPr>
          <w:p>
            <w:pPr>
              <w:spacing w:before="156" w:beforeLines="50" w:after="156" w:afterLines="50"/>
              <w:ind w:firstLine="480" w:firstLineChars="200"/>
              <w:jc w:val="center"/>
            </w:pPr>
            <w:r>
              <w:rPr>
                <w:rFonts w:hint="eastAsia"/>
              </w:rPr>
              <w:t>未按要求发现一次扣一分（1分）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每半年对给排水系统进行维护、润滑。用户末端的水压及流量满足使用要求。每季对楼宇排水总管进行检查，每半年对水泵、管道进行防锈处理。确保水质无污染并符合规定的要求。</w:t>
            </w:r>
          </w:p>
        </w:tc>
        <w:tc>
          <w:tcPr>
            <w:tcW w:w="2690" w:type="dxa"/>
            <w:vAlign w:val="center"/>
          </w:tcPr>
          <w:p>
            <w:pPr>
              <w:spacing w:before="156" w:beforeLines="50" w:after="156" w:afterLines="50"/>
              <w:ind w:firstLine="480" w:firstLineChars="200"/>
            </w:pPr>
            <w:r>
              <w:rPr>
                <w:rFonts w:hint="eastAsia"/>
              </w:rPr>
              <w:t>未按要求发现一次扣一分（1分）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每季度对水质处理、消毒装置、电开水炉及设备控制柜进行保养。</w:t>
            </w:r>
          </w:p>
        </w:tc>
        <w:tc>
          <w:tcPr>
            <w:tcW w:w="2690" w:type="dxa"/>
            <w:vAlign w:val="center"/>
          </w:tcPr>
          <w:p>
            <w:pPr>
              <w:spacing w:before="156" w:beforeLines="50" w:after="156" w:afterLines="50"/>
              <w:ind w:firstLine="480" w:firstLineChars="200"/>
            </w:pPr>
            <w:r>
              <w:rPr>
                <w:rFonts w:hint="eastAsia"/>
              </w:rPr>
              <w:t>未按要求发现一次扣一分（1分）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每年至少清理污水化粪池一次，确保排水微量元素等达标；每月要定期检查清理疏通公共雨、污水管道、窨井、窨沟、排水沟、集水井</w:t>
            </w:r>
            <w:r>
              <w:rPr>
                <w:rFonts w:hint="eastAsia"/>
              </w:rPr>
              <w:t>保证</w:t>
            </w:r>
            <w:r>
              <w:t>管道通畅，无堵塞外溢现象</w:t>
            </w:r>
          </w:p>
        </w:tc>
        <w:tc>
          <w:tcPr>
            <w:tcW w:w="2690" w:type="dxa"/>
            <w:vAlign w:val="center"/>
          </w:tcPr>
          <w:p>
            <w:pPr>
              <w:spacing w:before="156" w:beforeLines="50" w:after="156" w:afterLines="50"/>
              <w:ind w:firstLine="480" w:firstLineChars="200"/>
            </w:pPr>
            <w:r>
              <w:rPr>
                <w:rFonts w:hint="eastAsia"/>
              </w:rPr>
              <w:t>未按要求发现一次扣一分（1分）</w:t>
            </w:r>
          </w:p>
        </w:tc>
      </w:tr>
      <w:tr>
        <w:tblPrEx>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定期对监控主机及弱电网络与监控点的设备进行维护保养，确保运行无故障</w:t>
            </w:r>
          </w:p>
        </w:tc>
        <w:tc>
          <w:tcPr>
            <w:tcW w:w="2690" w:type="dxa"/>
            <w:vAlign w:val="center"/>
          </w:tcPr>
          <w:p>
            <w:pPr>
              <w:spacing w:before="156" w:beforeLines="50" w:after="156" w:afterLines="50"/>
              <w:ind w:firstLine="480" w:firstLineChars="200"/>
            </w:pPr>
            <w:r>
              <w:rPr>
                <w:rFonts w:hint="eastAsia"/>
              </w:rPr>
              <w:t>未按及时维修保护一次扣一分（2分）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定期对</w:t>
            </w:r>
            <w:r>
              <w:rPr>
                <w:rFonts w:hint="eastAsia"/>
              </w:rPr>
              <w:t>消防设备如</w:t>
            </w:r>
            <w:r>
              <w:t>消防栓、消防水带、消防泵、感烟探测器、感温探测器、手动报警按钮、层显等设备进行检查、更换</w:t>
            </w:r>
          </w:p>
        </w:tc>
        <w:tc>
          <w:tcPr>
            <w:tcW w:w="2690" w:type="dxa"/>
            <w:vAlign w:val="center"/>
          </w:tcPr>
          <w:p>
            <w:pPr>
              <w:spacing w:before="156" w:beforeLines="50" w:after="156" w:afterLines="50"/>
              <w:ind w:firstLine="480" w:firstLineChars="200"/>
            </w:pPr>
            <w:r>
              <w:rPr>
                <w:rFonts w:hint="eastAsia"/>
              </w:rPr>
              <w:t>未按照要求及时对设备进行检查更换一次扣一分（2分）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定期对各楼层应急电源的主、备电情况进行检查</w:t>
            </w:r>
            <w:r>
              <w:rPr>
                <w:rFonts w:hint="eastAsia"/>
              </w:rPr>
              <w:t>，并记录档案</w:t>
            </w:r>
          </w:p>
        </w:tc>
        <w:tc>
          <w:tcPr>
            <w:tcW w:w="2690" w:type="dxa"/>
            <w:vAlign w:val="center"/>
          </w:tcPr>
          <w:p>
            <w:pPr>
              <w:spacing w:before="156" w:beforeLines="50" w:after="156" w:afterLines="50"/>
              <w:ind w:firstLine="480" w:firstLineChars="200"/>
            </w:pPr>
            <w:r>
              <w:rPr>
                <w:rFonts w:hint="eastAsia"/>
              </w:rPr>
              <w:t>未按要求记录档案一次扣一分（1分）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每月2次由具备相应资质的专业技术人员上门维保，每次间隔时间不超过15天，做好维保记录，按工艺和规范对电梯作机电上之安全检查及各机件之加油润滑、清理点检、性能调整等作业</w:t>
            </w:r>
          </w:p>
        </w:tc>
        <w:tc>
          <w:tcPr>
            <w:tcW w:w="2690" w:type="dxa"/>
            <w:vAlign w:val="center"/>
          </w:tcPr>
          <w:p>
            <w:pPr>
              <w:spacing w:before="156" w:beforeLines="50" w:after="156" w:afterLines="50"/>
              <w:ind w:firstLine="480" w:firstLineChars="200"/>
            </w:pPr>
            <w:r>
              <w:rPr>
                <w:rFonts w:hint="eastAsia"/>
              </w:rPr>
              <w:t>未按照要求对电梯进行维保一次扣一分（2分）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每半年对空调内置滤网清洗一次。定期检查保养，及时排除故障，保证运行正常衣设备系统出现故障后。</w:t>
            </w:r>
          </w:p>
        </w:tc>
        <w:tc>
          <w:tcPr>
            <w:tcW w:w="2690" w:type="dxa"/>
            <w:vAlign w:val="center"/>
          </w:tcPr>
          <w:p>
            <w:pPr>
              <w:spacing w:before="156" w:beforeLines="50" w:after="156" w:afterLines="50"/>
              <w:ind w:firstLine="480" w:firstLineChars="200"/>
            </w:pPr>
            <w:r>
              <w:rPr>
                <w:rFonts w:hint="eastAsia"/>
              </w:rPr>
              <w:t>未按照要求及时进行保养发现一次扣一分（1分）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保证</w:t>
            </w:r>
            <w:r>
              <w:rPr>
                <w:rFonts w:hint="eastAsia"/>
              </w:rPr>
              <w:t>中心内各项设备系统</w:t>
            </w:r>
            <w:r>
              <w:t>出现故障后</w:t>
            </w:r>
            <w:r>
              <w:rPr>
                <w:rFonts w:hint="eastAsia"/>
              </w:rPr>
              <w:t>，</w:t>
            </w:r>
            <w:r>
              <w:t>由有相应资格的维修人员在30分钟内到达现场维修，小修及时处理，中修、大修及时联系厂家技术人员并协助维修；维修及时率100%；</w:t>
            </w:r>
          </w:p>
        </w:tc>
        <w:tc>
          <w:tcPr>
            <w:tcW w:w="2690" w:type="dxa"/>
            <w:vAlign w:val="center"/>
          </w:tcPr>
          <w:p>
            <w:pPr>
              <w:spacing w:before="156" w:beforeLines="50" w:after="156" w:afterLines="50"/>
              <w:ind w:firstLine="480" w:firstLineChars="200"/>
            </w:pPr>
            <w:r>
              <w:rPr>
                <w:rFonts w:hint="eastAsia"/>
              </w:rPr>
              <w:t>接到通知后30分钟后未到场检修一次扣一分，未能及时解决问题一次扣一分（10分）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 xml:space="preserve"> 对区域内的电气管线、电线电缆、电源开关、动力插座、电开水炉等低压用电设施进行日常管理和维护、维修，保持设施正常运行。</w:t>
            </w:r>
          </w:p>
        </w:tc>
        <w:tc>
          <w:tcPr>
            <w:tcW w:w="2690" w:type="dxa"/>
            <w:vAlign w:val="center"/>
          </w:tcPr>
          <w:p>
            <w:pPr>
              <w:spacing w:before="156" w:beforeLines="50" w:after="156" w:afterLines="50"/>
              <w:ind w:firstLine="480" w:firstLineChars="200"/>
            </w:pPr>
            <w:r>
              <w:rPr>
                <w:rFonts w:hint="eastAsia"/>
              </w:rPr>
              <w:t>未按照要求及时进行保养发现一次扣一分（2分）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每月10号前，必须提供前一个月的水、电表能耗统计报表。</w:t>
            </w:r>
          </w:p>
        </w:tc>
        <w:tc>
          <w:tcPr>
            <w:tcW w:w="2690" w:type="dxa"/>
            <w:vAlign w:val="center"/>
          </w:tcPr>
          <w:p>
            <w:pPr>
              <w:spacing w:before="156" w:beforeLines="50" w:after="156" w:afterLines="50"/>
              <w:ind w:firstLine="480" w:firstLineChars="200"/>
            </w:pPr>
            <w:r>
              <w:rPr>
                <w:rFonts w:hint="eastAsia"/>
              </w:rPr>
              <w:t>未按照要求提供报表一次扣一分（1分）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Align w:val="center"/>
          </w:tcPr>
          <w:p>
            <w:pPr>
              <w:spacing w:before="156" w:beforeLines="50" w:after="156" w:afterLines="50"/>
              <w:ind w:firstLine="482" w:firstLineChars="200"/>
              <w:jc w:val="center"/>
            </w:pPr>
            <w:r>
              <w:rPr>
                <w:b/>
              </w:rPr>
              <w:t>四、综合管理</w:t>
            </w:r>
          </w:p>
        </w:tc>
        <w:tc>
          <w:tcPr>
            <w:tcW w:w="4537" w:type="dxa"/>
            <w:vAlign w:val="center"/>
          </w:tcPr>
          <w:p>
            <w:pPr>
              <w:spacing w:before="156" w:beforeLines="50" w:after="156" w:afterLines="50"/>
              <w:ind w:firstLine="482" w:firstLineChars="200"/>
              <w:jc w:val="center"/>
            </w:pPr>
            <w:r>
              <w:rPr>
                <w:b/>
              </w:rPr>
              <w:t>合同义务</w:t>
            </w:r>
          </w:p>
        </w:tc>
        <w:tc>
          <w:tcPr>
            <w:tcW w:w="2690" w:type="dxa"/>
            <w:vAlign w:val="center"/>
          </w:tcPr>
          <w:p>
            <w:pPr>
              <w:spacing w:before="156" w:beforeLines="50" w:after="156" w:afterLines="50"/>
              <w:ind w:firstLine="482" w:firstLineChars="200"/>
              <w:jc w:val="center"/>
            </w:pPr>
            <w:r>
              <w:rPr>
                <w:b/>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restart"/>
            <w:vAlign w:val="center"/>
          </w:tcPr>
          <w:p>
            <w:pPr>
              <w:spacing w:before="156" w:beforeLines="50" w:after="156" w:afterLines="50"/>
              <w:ind w:firstLine="480" w:firstLineChars="200"/>
              <w:jc w:val="center"/>
            </w:pPr>
            <w:r>
              <w:rPr>
                <w:rFonts w:hint="eastAsia"/>
              </w:rPr>
              <w:t>综合食堂管理（20分）</w:t>
            </w:r>
          </w:p>
        </w:tc>
        <w:tc>
          <w:tcPr>
            <w:tcW w:w="4537" w:type="dxa"/>
            <w:vAlign w:val="center"/>
          </w:tcPr>
          <w:p>
            <w:pPr>
              <w:spacing w:before="156" w:beforeLines="50" w:after="156" w:afterLines="50"/>
              <w:ind w:firstLine="480" w:firstLineChars="200"/>
            </w:pPr>
            <w:r>
              <w:t>从业人员必须有健康证，符合餐饮工作人员条件。</w:t>
            </w:r>
          </w:p>
        </w:tc>
        <w:tc>
          <w:tcPr>
            <w:tcW w:w="2690" w:type="dxa"/>
            <w:vAlign w:val="center"/>
          </w:tcPr>
          <w:p>
            <w:pPr>
              <w:spacing w:before="156" w:beforeLines="50" w:after="156" w:afterLines="50"/>
              <w:ind w:firstLine="480" w:firstLineChars="200"/>
            </w:pPr>
            <w:r>
              <w:rPr>
                <w:rFonts w:hint="eastAsia"/>
              </w:rPr>
              <w:t>检查发现无证一次扣一分（4分）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乙方负责综合食堂的整体运营，为孤残儿童院、救助管理站工作人员及外来培训人员提供就餐；为孤残儿童、流浪救助人员提供配餐服务；根据采购方要求提供餐饮接待服务。</w:t>
            </w:r>
          </w:p>
        </w:tc>
        <w:tc>
          <w:tcPr>
            <w:tcW w:w="2690" w:type="dxa"/>
            <w:vAlign w:val="center"/>
          </w:tcPr>
          <w:p>
            <w:pPr>
              <w:spacing w:before="156" w:beforeLines="50" w:after="156" w:afterLines="50"/>
              <w:ind w:firstLine="480" w:firstLineChars="200"/>
            </w:pPr>
            <w:r>
              <w:rPr>
                <w:rFonts w:hint="eastAsia"/>
              </w:rPr>
              <w:t>未按照要求一次扣一分（4分）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乙方要遵守国家和地方的安全卫生规定，严把好食品的质量关。</w:t>
            </w:r>
          </w:p>
        </w:tc>
        <w:tc>
          <w:tcPr>
            <w:tcW w:w="2690" w:type="dxa"/>
            <w:vAlign w:val="center"/>
          </w:tcPr>
          <w:p>
            <w:pPr>
              <w:spacing w:before="156" w:beforeLines="50" w:after="156" w:afterLines="50"/>
              <w:ind w:firstLine="480" w:firstLineChars="200"/>
            </w:pPr>
            <w:r>
              <w:rPr>
                <w:rFonts w:hint="eastAsia"/>
              </w:rPr>
              <w:t>未按照要求一次扣一分（4分）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废水、废气、废弃物的排放、处置要符合国家及地方相关环保法律法规</w:t>
            </w:r>
            <w:r>
              <w:rPr>
                <w:rFonts w:hint="eastAsia"/>
              </w:rPr>
              <w:t>.</w:t>
            </w:r>
          </w:p>
        </w:tc>
        <w:tc>
          <w:tcPr>
            <w:tcW w:w="2690" w:type="dxa"/>
            <w:vAlign w:val="center"/>
          </w:tcPr>
          <w:p>
            <w:pPr>
              <w:spacing w:before="156" w:beforeLines="50" w:after="156" w:afterLines="50"/>
              <w:ind w:firstLine="480" w:firstLineChars="200"/>
            </w:pPr>
            <w:r>
              <w:rPr>
                <w:rFonts w:hint="eastAsia"/>
              </w:rPr>
              <w:t>未按照要求一次扣一分（4分）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784" w:type="dxa"/>
            <w:vMerge w:val="continue"/>
            <w:vAlign w:val="center"/>
          </w:tcPr>
          <w:p>
            <w:pPr>
              <w:spacing w:before="156" w:beforeLines="50" w:after="156" w:afterLines="50"/>
              <w:ind w:firstLine="480" w:firstLineChars="200"/>
              <w:jc w:val="center"/>
            </w:pPr>
          </w:p>
        </w:tc>
        <w:tc>
          <w:tcPr>
            <w:tcW w:w="4537" w:type="dxa"/>
            <w:vAlign w:val="center"/>
          </w:tcPr>
          <w:p>
            <w:pPr>
              <w:spacing w:before="156" w:beforeLines="50" w:after="156" w:afterLines="50"/>
              <w:ind w:firstLine="480" w:firstLineChars="200"/>
            </w:pPr>
            <w:r>
              <w:t>相关监督机构对查有异常时，乙方应将异常情况及改善对策报知采购方</w:t>
            </w:r>
            <w:r>
              <w:rPr>
                <w:rFonts w:hint="eastAsia"/>
              </w:rPr>
              <w:t>。</w:t>
            </w:r>
          </w:p>
        </w:tc>
        <w:tc>
          <w:tcPr>
            <w:tcW w:w="2690" w:type="dxa"/>
            <w:vAlign w:val="center"/>
          </w:tcPr>
          <w:p>
            <w:pPr>
              <w:spacing w:before="156" w:beforeLines="50" w:after="156" w:afterLines="50"/>
              <w:ind w:firstLine="480" w:firstLineChars="200"/>
            </w:pPr>
            <w:r>
              <w:rPr>
                <w:rFonts w:hint="eastAsia"/>
              </w:rPr>
              <w:t>未按照要求一次扣一分（4分）</w:t>
            </w:r>
          </w:p>
        </w:tc>
      </w:tr>
    </w:tbl>
    <w:p>
      <w:pPr>
        <w:adjustRightInd w:val="0"/>
        <w:snapToGrid w:val="0"/>
        <w:ind w:firstLine="482" w:firstLineChars="200"/>
        <w:rPr>
          <w:rFonts w:cs="宋体"/>
          <w:b/>
          <w:bCs/>
        </w:rPr>
      </w:pPr>
    </w:p>
    <w:p>
      <w:r>
        <w:br w:type="page"/>
      </w:r>
    </w:p>
    <w:p>
      <w:pPr>
        <w:rPr>
          <w:sz w:val="32"/>
          <w:szCs w:val="32"/>
        </w:rPr>
      </w:pPr>
    </w:p>
    <w:p>
      <w:pPr>
        <w:pStyle w:val="2"/>
        <w:rPr>
          <w:color w:val="auto"/>
          <w:kern w:val="2"/>
        </w:rPr>
      </w:pPr>
      <w:bookmarkStart w:id="7" w:name="_Toc63585243"/>
      <w:bookmarkStart w:id="8" w:name="_Toc63585685"/>
      <w:bookmarkStart w:id="9" w:name="_Toc66264898"/>
      <w:r>
        <w:rPr>
          <w:rFonts w:hint="eastAsia"/>
          <w:color w:val="auto"/>
        </w:rPr>
        <w:t>第三章</w:t>
      </w:r>
      <w:r>
        <w:rPr>
          <w:color w:val="auto"/>
        </w:rPr>
        <w:t xml:space="preserve"> 投标人须</w:t>
      </w:r>
      <w:bookmarkStart w:id="10" w:name="_Toc91899903"/>
      <w:r>
        <w:rPr>
          <w:color w:val="auto"/>
        </w:rPr>
        <w:t>知</w:t>
      </w:r>
      <w:bookmarkEnd w:id="7"/>
      <w:bookmarkEnd w:id="8"/>
      <w:bookmarkEnd w:id="9"/>
    </w:p>
    <w:p>
      <w:pPr>
        <w:jc w:val="center"/>
      </w:pPr>
      <w:r>
        <w:t>前附表</w:t>
      </w:r>
    </w:p>
    <w:tbl>
      <w:tblPr>
        <w:tblStyle w:val="19"/>
        <w:tblW w:w="101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0"/>
        <w:gridCol w:w="1843"/>
        <w:gridCol w:w="75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rPr>
                <w:b/>
              </w:rPr>
            </w:pPr>
            <w:r>
              <w:rPr>
                <w:b/>
              </w:rPr>
              <w:t>序号</w:t>
            </w:r>
          </w:p>
        </w:tc>
        <w:tc>
          <w:tcPr>
            <w:tcW w:w="1843" w:type="dxa"/>
            <w:tcBorders>
              <w:top w:val="single" w:color="auto" w:sz="4" w:space="0"/>
              <w:left w:val="nil"/>
              <w:bottom w:val="single" w:color="auto" w:sz="4" w:space="0"/>
              <w:right w:val="single" w:color="auto" w:sz="4" w:space="0"/>
            </w:tcBorders>
            <w:vAlign w:val="center"/>
          </w:tcPr>
          <w:p>
            <w:pPr>
              <w:jc w:val="center"/>
              <w:rPr>
                <w:b/>
              </w:rPr>
            </w:pPr>
            <w:r>
              <w:rPr>
                <w:b/>
              </w:rPr>
              <w:t>内  容</w:t>
            </w:r>
          </w:p>
        </w:tc>
        <w:tc>
          <w:tcPr>
            <w:tcW w:w="7552" w:type="dxa"/>
            <w:tcBorders>
              <w:top w:val="single" w:color="auto" w:sz="4" w:space="0"/>
              <w:left w:val="nil"/>
              <w:bottom w:val="single" w:color="auto" w:sz="4" w:space="0"/>
              <w:right w:val="single" w:color="auto" w:sz="4" w:space="0"/>
            </w:tcBorders>
            <w:vAlign w:val="center"/>
          </w:tcPr>
          <w:p>
            <w:pPr>
              <w:jc w:val="center"/>
              <w:rPr>
                <w:b/>
              </w:rPr>
            </w:pPr>
            <w:r>
              <w:rPr>
                <w:b/>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r>
              <w:t>1</w:t>
            </w:r>
          </w:p>
        </w:tc>
        <w:tc>
          <w:tcPr>
            <w:tcW w:w="1843" w:type="dxa"/>
            <w:tcBorders>
              <w:top w:val="single" w:color="auto" w:sz="4" w:space="0"/>
              <w:left w:val="nil"/>
              <w:bottom w:val="single" w:color="auto" w:sz="4" w:space="0"/>
              <w:right w:val="single" w:color="auto" w:sz="4" w:space="0"/>
            </w:tcBorders>
            <w:vAlign w:val="center"/>
          </w:tcPr>
          <w:p>
            <w:r>
              <w:t>采购内容</w:t>
            </w:r>
          </w:p>
        </w:tc>
        <w:tc>
          <w:tcPr>
            <w:tcW w:w="7552" w:type="dxa"/>
            <w:tcBorders>
              <w:top w:val="single" w:color="auto" w:sz="4" w:space="0"/>
              <w:left w:val="nil"/>
              <w:bottom w:val="single" w:color="auto" w:sz="4" w:space="0"/>
              <w:right w:val="single" w:color="auto" w:sz="4" w:space="0"/>
            </w:tcBorders>
            <w:vAlign w:val="center"/>
          </w:tcPr>
          <w:p>
            <w:r>
              <w:t>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r>
              <w:t>2</w:t>
            </w:r>
          </w:p>
        </w:tc>
        <w:tc>
          <w:tcPr>
            <w:tcW w:w="1843" w:type="dxa"/>
            <w:tcBorders>
              <w:top w:val="single" w:color="auto" w:sz="4" w:space="0"/>
              <w:left w:val="nil"/>
              <w:bottom w:val="single" w:color="auto" w:sz="4" w:space="0"/>
              <w:right w:val="single" w:color="auto" w:sz="4" w:space="0"/>
            </w:tcBorders>
            <w:vAlign w:val="center"/>
          </w:tcPr>
          <w:p>
            <w:r>
              <w:t>评分办法</w:t>
            </w:r>
          </w:p>
        </w:tc>
        <w:tc>
          <w:tcPr>
            <w:tcW w:w="7552" w:type="dxa"/>
            <w:tcBorders>
              <w:top w:val="single" w:color="auto" w:sz="4" w:space="0"/>
              <w:left w:val="nil"/>
              <w:bottom w:val="single" w:color="auto" w:sz="4" w:space="0"/>
              <w:right w:val="single" w:color="auto" w:sz="4" w:space="0"/>
            </w:tcBorders>
            <w:vAlign w:val="center"/>
          </w:tcPr>
          <w:p>
            <w:r>
              <w:t xml:space="preserve"> </w:t>
            </w:r>
            <w:bookmarkStart w:id="11" w:name="ruleMainCatName"/>
            <w:r>
              <w:rPr>
                <w:b/>
              </w:rPr>
              <w:t>综合评分法</w:t>
            </w:r>
            <w:bookmarkEnd w:id="1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r>
              <w:t>3</w:t>
            </w:r>
          </w:p>
        </w:tc>
        <w:tc>
          <w:tcPr>
            <w:tcW w:w="1843" w:type="dxa"/>
            <w:tcBorders>
              <w:top w:val="single" w:color="auto" w:sz="4" w:space="0"/>
              <w:left w:val="nil"/>
              <w:bottom w:val="single" w:color="auto" w:sz="4" w:space="0"/>
              <w:right w:val="single" w:color="auto" w:sz="4" w:space="0"/>
            </w:tcBorders>
            <w:vAlign w:val="center"/>
          </w:tcPr>
          <w:p>
            <w:r>
              <w:t>信用记录</w:t>
            </w:r>
          </w:p>
        </w:tc>
        <w:tc>
          <w:tcPr>
            <w:tcW w:w="7552" w:type="dxa"/>
            <w:tcBorders>
              <w:top w:val="single" w:color="auto" w:sz="4" w:space="0"/>
              <w:left w:val="nil"/>
              <w:bottom w:val="single" w:color="auto" w:sz="4" w:space="0"/>
              <w:right w:val="single" w:color="auto" w:sz="4" w:space="0"/>
            </w:tcBorders>
            <w:vAlign w:val="center"/>
          </w:tcPr>
          <w:p>
            <w:pPr>
              <w:numPr>
                <w:ilvl w:val="0"/>
                <w:numId w:val="2"/>
              </w:numPr>
            </w:pPr>
            <w:r>
              <w:rPr>
                <w:b/>
              </w:rPr>
              <w:t>信用信息查询渠道及截止时间：</w:t>
            </w:r>
            <w:r>
              <w:t>项目评审组织人员将通过“信用中国”网站（www.creditchina.gov.cn）、中国政府采购网（www.ccgp.gov.cn）渠道查询投标人</w:t>
            </w:r>
            <w:r>
              <w:rPr>
                <w:b/>
              </w:rPr>
              <w:t>投标截止时间前</w:t>
            </w:r>
            <w:r>
              <w:t>的信用记录。</w:t>
            </w:r>
          </w:p>
          <w:p>
            <w:pPr>
              <w:numPr>
                <w:ilvl w:val="0"/>
                <w:numId w:val="2"/>
              </w:numPr>
            </w:pPr>
            <w:r>
              <w:rPr>
                <w:b/>
              </w:rPr>
              <w:t>信用信息查询记录和证据留存的具体方式：</w:t>
            </w:r>
            <w:r>
              <w:t>项目评审组织人员现场查询投标人的信用记录，查询结果与采购文件一起存档。</w:t>
            </w:r>
          </w:p>
          <w:p>
            <w:pPr>
              <w:numPr>
                <w:ilvl w:val="0"/>
                <w:numId w:val="2"/>
              </w:numPr>
            </w:pPr>
            <w:r>
              <w:rPr>
                <w:b/>
              </w:rPr>
              <w:t>信用信息的使用规则：</w:t>
            </w:r>
            <w: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r>
              <w:t>4</w:t>
            </w:r>
          </w:p>
        </w:tc>
        <w:tc>
          <w:tcPr>
            <w:tcW w:w="1843" w:type="dxa"/>
            <w:tcBorders>
              <w:top w:val="single" w:color="auto" w:sz="4" w:space="0"/>
              <w:left w:val="nil"/>
              <w:bottom w:val="single" w:color="auto" w:sz="4" w:space="0"/>
              <w:right w:val="single" w:color="auto" w:sz="4" w:space="0"/>
            </w:tcBorders>
            <w:vAlign w:val="center"/>
          </w:tcPr>
          <w:p>
            <w:r>
              <w:t>小微企业有关政策</w:t>
            </w:r>
          </w:p>
        </w:tc>
        <w:tc>
          <w:tcPr>
            <w:tcW w:w="7552" w:type="dxa"/>
            <w:tcBorders>
              <w:top w:val="single" w:color="auto" w:sz="4" w:space="0"/>
              <w:left w:val="nil"/>
              <w:bottom w:val="single" w:color="auto" w:sz="4" w:space="0"/>
              <w:right w:val="single" w:color="auto" w:sz="4" w:space="0"/>
            </w:tcBorders>
            <w:vAlign w:val="center"/>
          </w:tcPr>
          <w:p>
            <w:pPr>
              <w:snapToGrid w:val="0"/>
              <w:ind w:firstLine="482" w:firstLineChars="200"/>
            </w:pPr>
            <w:r>
              <w:rPr>
                <w:b/>
              </w:rPr>
              <w:t>相关资格认定要求：</w:t>
            </w:r>
            <w:r>
              <w:t>按照《关于印发中小企业划型标准规定的通知》（工信部联企业〔2011〕300号）相关规定，根据具体品目确定相应标准。符合上述条件的中小微型企业应按照采购文件“第六章 投标文件格式”的格式要求提供《中小微企业声明函》及相关资料。符合《关于促进残疾人就业政府采购政策的通知》（财库〔2017〕141号）规定的条件并提供《残疾人福利性单位声明函》（按照“第六章 投标文件格式”）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ind w:firstLine="482" w:firstLineChars="200"/>
              <w:jc w:val="center"/>
            </w:pPr>
            <w:r>
              <w:rPr>
                <w:b/>
              </w:rPr>
              <w:t>价格扣除：</w:t>
            </w:r>
            <w:r>
              <w:t>根据财政部发布的《政府采购促进中小企业发展暂行办法》（财库〔2011〕181号）</w:t>
            </w:r>
            <w:bookmarkStart w:id="12" w:name="docTitle"/>
            <w:r>
              <w:t>、《关于优化营商环境进一步加强政府采</w:t>
            </w:r>
          </w:p>
          <w:p>
            <w:r>
              <w:t>购监督管理工作的通知</w:t>
            </w:r>
            <w:bookmarkEnd w:id="12"/>
            <w:r>
              <w:t>》（杭财采监（〔2020〕7号 ）,对于非专门面向中小企业的项目和专门面向中小企业的项目，对小微企业产品的价格分别给予</w:t>
            </w:r>
            <w:r>
              <w:rPr>
                <w:b/>
                <w:bCs/>
              </w:rPr>
              <w:t>10%</w:t>
            </w:r>
            <w:r>
              <w:t>和8%的扣除。用扣除后的价格参与评审。</w:t>
            </w:r>
          </w:p>
          <w:p>
            <w:r>
              <w:t xml:space="preserve">    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价格扣除。联合体各方均为小型、微型企业的，联合体视同为小型、微型企业。</w:t>
            </w:r>
          </w:p>
          <w:p>
            <w:r>
              <w:rPr>
                <w:b/>
              </w:rPr>
              <w:t>（注：以上材料制作进报价文件中；未提供以上材料的，均不给予价格扣除）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r>
              <w:t>5</w:t>
            </w:r>
          </w:p>
        </w:tc>
        <w:tc>
          <w:tcPr>
            <w:tcW w:w="1843" w:type="dxa"/>
            <w:tcBorders>
              <w:top w:val="single" w:color="auto" w:sz="4" w:space="0"/>
              <w:left w:val="nil"/>
              <w:bottom w:val="single" w:color="auto" w:sz="4" w:space="0"/>
              <w:right w:val="single" w:color="auto" w:sz="4" w:space="0"/>
            </w:tcBorders>
            <w:vAlign w:val="center"/>
          </w:tcPr>
          <w:p>
            <w:r>
              <w:rPr>
                <w:b/>
              </w:rPr>
              <w:t>企业信用融资</w:t>
            </w:r>
          </w:p>
        </w:tc>
        <w:tc>
          <w:tcPr>
            <w:tcW w:w="7552" w:type="dxa"/>
            <w:tcBorders>
              <w:top w:val="single" w:color="auto" w:sz="4" w:space="0"/>
              <w:left w:val="nil"/>
              <w:bottom w:val="single" w:color="auto" w:sz="4" w:space="0"/>
              <w:right w:val="single" w:color="auto" w:sz="4" w:space="0"/>
            </w:tcBorders>
            <w:vAlign w:val="center"/>
          </w:tcPr>
          <w:p>
            <w:r>
              <w:t>根据《余杭区政府采购支持中小企业信用融资暂行办法》（余财采〔2015〕1号）的规定，凡已在浙江政府采购网上注册入库，并取得余杭区政府采购合同的区内中小企业供应商，均可申请政府采购信用融资。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r>
              <w:rPr>
                <w:rFonts w:hint="eastAsia"/>
              </w:rPr>
              <w:t>6</w:t>
            </w:r>
          </w:p>
        </w:tc>
        <w:tc>
          <w:tcPr>
            <w:tcW w:w="1843" w:type="dxa"/>
            <w:tcBorders>
              <w:top w:val="single" w:color="auto" w:sz="4" w:space="0"/>
              <w:left w:val="nil"/>
              <w:bottom w:val="single" w:color="auto" w:sz="4" w:space="0"/>
              <w:right w:val="single" w:color="auto" w:sz="4" w:space="0"/>
            </w:tcBorders>
            <w:vAlign w:val="center"/>
          </w:tcPr>
          <w:p>
            <w:r>
              <w:t>投标文件形式、制作及组成</w:t>
            </w:r>
          </w:p>
        </w:tc>
        <w:tc>
          <w:tcPr>
            <w:tcW w:w="7552" w:type="dxa"/>
            <w:tcBorders>
              <w:top w:val="single" w:color="auto" w:sz="4" w:space="0"/>
              <w:left w:val="nil"/>
              <w:bottom w:val="single" w:color="auto" w:sz="4" w:space="0"/>
              <w:right w:val="single" w:color="auto" w:sz="4" w:space="0"/>
            </w:tcBorders>
            <w:vAlign w:val="center"/>
          </w:tcPr>
          <w:p>
            <w:pPr>
              <w:ind w:firstLine="482" w:firstLineChars="200"/>
            </w:pPr>
            <w:r>
              <w:rPr>
                <w:b/>
              </w:rPr>
              <w:t>本项目实行网上投标。</w:t>
            </w:r>
            <w:r>
              <w:rPr>
                <w:b/>
              </w:rPr>
              <w:cr/>
            </w:r>
            <w:r>
              <w:rPr>
                <w:b/>
              </w:rPr>
              <w:t>供应商应准备电子投标文件、以介质存储的数据电文形式的备份投标文件两类：</w:t>
            </w:r>
            <w:r>
              <w:rPr>
                <w:b/>
              </w:rPr>
              <w:cr/>
            </w:r>
            <w:r>
              <w:rPr>
                <w:b/>
              </w:rPr>
              <w:t>（1）电子投标文件，按政采云平台项目采购-电子招投标操作指南及本招标文件要求递交。</w:t>
            </w:r>
            <w:r>
              <w:rPr>
                <w:b/>
              </w:rPr>
              <w:cr/>
            </w:r>
            <w:r>
              <w:rPr>
                <w:b/>
              </w:rPr>
              <w:t>（2）以介质存储的数据电文形式的备份投标文件，按政采云平台项目采购-电子招投标操作指南中上传的电子投标文件格式，以DVD光盘形式提供。数量为1份。（未采用DVD光盘形式提供、提供数量不符合要求的介质存储备份文件，视作未提供介质存储数据备份文件。）</w:t>
            </w:r>
            <w:r>
              <w:rPr>
                <w:b/>
              </w:rPr>
              <w:cr/>
            </w:r>
            <w:r>
              <w:rPr>
                <w:b/>
              </w:rPr>
              <w:t>投标文件均由资质文件、技术及商务文件、报价文件组成。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r>
              <w:rPr>
                <w:rFonts w:hint="eastAsia"/>
              </w:rPr>
              <w:t>7</w:t>
            </w:r>
          </w:p>
        </w:tc>
        <w:tc>
          <w:tcPr>
            <w:tcW w:w="1843" w:type="dxa"/>
            <w:tcBorders>
              <w:top w:val="single" w:color="auto" w:sz="4" w:space="0"/>
              <w:left w:val="nil"/>
              <w:bottom w:val="single" w:color="auto" w:sz="4" w:space="0"/>
              <w:right w:val="single" w:color="auto" w:sz="4" w:space="0"/>
            </w:tcBorders>
            <w:vAlign w:val="center"/>
          </w:tcPr>
          <w:p>
            <w:r>
              <w:t>中标结果公告</w:t>
            </w:r>
          </w:p>
        </w:tc>
        <w:tc>
          <w:tcPr>
            <w:tcW w:w="7552" w:type="dxa"/>
            <w:tcBorders>
              <w:top w:val="single" w:color="auto" w:sz="4" w:space="0"/>
              <w:left w:val="nil"/>
              <w:bottom w:val="single" w:color="auto" w:sz="4" w:space="0"/>
              <w:right w:val="single" w:color="auto" w:sz="4" w:space="0"/>
            </w:tcBorders>
            <w:vAlign w:val="center"/>
          </w:tcPr>
          <w:p>
            <w:pPr>
              <w:pStyle w:val="26"/>
              <w:spacing w:before="0" w:line="400" w:lineRule="atLeast"/>
              <w:ind w:firstLine="480"/>
              <w:rPr>
                <w:rFonts w:ascii="Times New Roman" w:hAnsi="Times New Roman"/>
                <w:szCs w:val="24"/>
              </w:rPr>
            </w:pPr>
            <w:r>
              <w:rPr>
                <w:rFonts w:ascii="Times New Roman" w:hAnsi="Times New Roman"/>
                <w:szCs w:val="24"/>
              </w:rPr>
              <w:t>评标结果公示：中标供应商确定之日起2个工作日内，在浙江政府采购网（</w:t>
            </w:r>
            <w:r>
              <w:fldChar w:fldCharType="begin"/>
            </w:r>
            <w:r>
              <w:instrText xml:space="preserve"> HYPERLINK "http://www.zjzfcg.gov.cn/" </w:instrText>
            </w:r>
            <w:r>
              <w:fldChar w:fldCharType="separate"/>
            </w:r>
            <w:r>
              <w:rPr>
                <w:rFonts w:ascii="Times New Roman" w:hAnsi="Times New Roman"/>
                <w:szCs w:val="24"/>
              </w:rPr>
              <w:t>http：//zfcg.czt.zj.gov.cn</w:t>
            </w:r>
            <w:r>
              <w:rPr>
                <w:rFonts w:ascii="Times New Roman" w:hAnsi="Times New Roman"/>
                <w:szCs w:val="24"/>
              </w:rPr>
              <w:fldChar w:fldCharType="end"/>
            </w:r>
            <w:r>
              <w:rPr>
                <w:rFonts w:ascii="Times New Roman" w:hAnsi="Times New Roman"/>
                <w:szCs w:val="24"/>
              </w:rPr>
              <w:t>）、杭州余杭政府门户网站（</w:t>
            </w:r>
            <w:r>
              <w:fldChar w:fldCharType="begin"/>
            </w:r>
            <w:r>
              <w:instrText xml:space="preserve"> HYPERLINK "http://www.yuhang.gov.cn/" </w:instrText>
            </w:r>
            <w:r>
              <w:fldChar w:fldCharType="separate"/>
            </w:r>
            <w:r>
              <w:rPr>
                <w:rFonts w:ascii="Times New Roman" w:hAnsi="Times New Roman"/>
                <w:szCs w:val="24"/>
              </w:rPr>
              <w:t>http：//www.yuhang.gov.cn</w:t>
            </w:r>
            <w:r>
              <w:rPr>
                <w:rFonts w:ascii="Times New Roman" w:hAnsi="Times New Roman"/>
                <w:szCs w:val="24"/>
              </w:rPr>
              <w:fldChar w:fldCharType="end"/>
            </w:r>
            <w:r>
              <w:rPr>
                <w:rFonts w:ascii="Times New Roman" w:hAnsi="Times New Roman"/>
                <w:szCs w:val="24"/>
              </w:rPr>
              <w:t>）发布中标公告。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r>
              <w:rPr>
                <w:rFonts w:hint="eastAsia"/>
              </w:rPr>
              <w:t>8</w:t>
            </w:r>
          </w:p>
        </w:tc>
        <w:tc>
          <w:tcPr>
            <w:tcW w:w="1843" w:type="dxa"/>
            <w:tcBorders>
              <w:top w:val="single" w:color="auto" w:sz="4" w:space="0"/>
              <w:left w:val="nil"/>
              <w:bottom w:val="single" w:color="auto" w:sz="4" w:space="0"/>
              <w:right w:val="single" w:color="auto" w:sz="4" w:space="0"/>
            </w:tcBorders>
            <w:vAlign w:val="center"/>
          </w:tcPr>
          <w:p>
            <w:r>
              <w:t>投标文件的接收</w:t>
            </w:r>
          </w:p>
        </w:tc>
        <w:tc>
          <w:tcPr>
            <w:tcW w:w="7552" w:type="dxa"/>
            <w:tcBorders>
              <w:top w:val="single" w:color="auto" w:sz="4" w:space="0"/>
              <w:left w:val="nil"/>
              <w:bottom w:val="single" w:color="auto" w:sz="4" w:space="0"/>
              <w:right w:val="single" w:color="auto" w:sz="4" w:space="0"/>
            </w:tcBorders>
            <w:vAlign w:val="center"/>
          </w:tcPr>
          <w:p>
            <w:pPr>
              <w:pStyle w:val="9"/>
              <w:adjustRightInd w:val="0"/>
              <w:snapToGrid w:val="0"/>
              <w:ind w:firstLine="484" w:firstLineChars="201"/>
              <w:rPr>
                <w:rFonts w:ascii="Times New Roman" w:hAnsi="Times New Roman"/>
                <w:b/>
                <w:bCs/>
                <w:szCs w:val="24"/>
              </w:rPr>
            </w:pPr>
            <w:r>
              <w:rPr>
                <w:b/>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ind w:firstLine="482" w:firstLineChars="200"/>
              <w:rPr>
                <w:b/>
              </w:rPr>
            </w:pPr>
            <w:r>
              <w:rPr>
                <w:b/>
              </w:rPr>
              <w:t>投标人</w:t>
            </w:r>
            <w:r>
              <w:rPr>
                <w:rFonts w:hint="eastAsia"/>
                <w:b/>
              </w:rPr>
              <w:t>需要递交备份投标文件的，</w:t>
            </w:r>
            <w:r>
              <w:rPr>
                <w:b/>
              </w:rPr>
              <w:t>应当在投标截止时间前半小时内将以介质存储的数据电文形式的备份投标文件密封送交到</w:t>
            </w:r>
            <w:r>
              <w:rPr>
                <w:b/>
                <w:bCs/>
              </w:rPr>
              <w:t>杭州市公共资源交易中心临平分中心，</w:t>
            </w:r>
            <w:r>
              <w:rPr>
                <w:b/>
              </w:rPr>
              <w:t>逾期送达或未密封将被拒收。</w:t>
            </w:r>
          </w:p>
          <w:p>
            <w:pPr>
              <w:ind w:firstLine="482" w:firstLineChars="200"/>
              <w:rPr>
                <w:b/>
              </w:rPr>
            </w:pPr>
            <w:r>
              <w:rPr>
                <w:b/>
              </w:rPr>
              <w:t>投标人递交以介质存储的数据电文形式的备份投标文件出现下列情况之一的，将被拒收：</w:t>
            </w:r>
          </w:p>
          <w:p>
            <w:pPr>
              <w:ind w:firstLine="482" w:firstLineChars="200"/>
              <w:rPr>
                <w:b/>
              </w:rPr>
            </w:pPr>
            <w:r>
              <w:rPr>
                <w:b/>
              </w:rPr>
              <w:t>1、未按规定密封或标记的投标文件；</w:t>
            </w:r>
          </w:p>
          <w:p>
            <w:pPr>
              <w:ind w:firstLine="482" w:firstLineChars="200"/>
              <w:rPr>
                <w:b/>
              </w:rPr>
            </w:pPr>
            <w:r>
              <w:rPr>
                <w:b/>
              </w:rPr>
              <w:t>2、由于包装不妥，在送交途中严重破损或失散的；</w:t>
            </w:r>
          </w:p>
          <w:p>
            <w:pPr>
              <w:ind w:firstLine="482" w:firstLineChars="200"/>
              <w:rPr>
                <w:b/>
              </w:rPr>
            </w:pPr>
            <w:r>
              <w:rPr>
                <w:b/>
              </w:rPr>
              <w:t>3、未成功办理投标人报名手续的；</w:t>
            </w:r>
          </w:p>
          <w:p>
            <w:pPr>
              <w:ind w:firstLine="482" w:firstLineChars="200"/>
              <w:rPr>
                <w:b/>
              </w:rPr>
            </w:pPr>
            <w:r>
              <w:rPr>
                <w:b/>
              </w:rPr>
              <w:t>4、</w:t>
            </w:r>
            <w:r>
              <w:rPr>
                <w:rFonts w:hint="eastAsia"/>
                <w:b/>
              </w:rPr>
              <w:t>未按规定时间</w:t>
            </w:r>
            <w:r>
              <w:rPr>
                <w:b/>
              </w:rPr>
              <w:t>送达的；</w:t>
            </w:r>
          </w:p>
          <w:p>
            <w:pPr>
              <w:ind w:firstLine="482" w:firstLineChars="200"/>
              <w:rPr>
                <w:b/>
              </w:rPr>
            </w:pPr>
            <w:r>
              <w:rPr>
                <w:b/>
              </w:rPr>
              <w:t>5、以介质存储的数据电文形式的备份投标文件，未采用DVD光盘形式提供的。</w:t>
            </w:r>
          </w:p>
          <w:p>
            <w:pPr>
              <w:ind w:firstLine="482" w:firstLineChars="200"/>
            </w:pPr>
            <w:r>
              <w:rPr>
                <w:b/>
              </w:rPr>
              <w:t>注：</w:t>
            </w:r>
            <w:r>
              <w:rPr>
                <w:rFonts w:hint="eastAsia"/>
                <w:b/>
              </w:rPr>
              <w:t>1、</w:t>
            </w:r>
            <w:r>
              <w:rPr>
                <w:b/>
              </w:rPr>
              <w:t>仅提供备份投标文件的，投标无效。</w:t>
            </w:r>
            <w:r>
              <w:rPr>
                <w:rFonts w:hint="eastAsia"/>
                <w:b/>
                <w:kern w:val="0"/>
              </w:rPr>
              <w:t>2、</w:t>
            </w:r>
            <w:r>
              <w:rPr>
                <w:b/>
                <w:bCs/>
              </w:rPr>
              <w:t>若投标人在规定时间内无法解密或解密失败，</w:t>
            </w:r>
            <w:r>
              <w:rPr>
                <w:rFonts w:hint="eastAsia"/>
                <w:b/>
                <w:bCs/>
              </w:rPr>
              <w:t>且</w:t>
            </w:r>
            <w:r>
              <w:rPr>
                <w:b/>
                <w:kern w:val="0"/>
              </w:rPr>
              <w:t>未提供备份投标文件，其投标视作无效。</w:t>
            </w:r>
          </w:p>
        </w:tc>
      </w:tr>
      <w:bookmarkEnd w:id="10"/>
    </w:tbl>
    <w:p>
      <w:pPr>
        <w:pStyle w:val="17"/>
      </w:pPr>
      <w:bookmarkStart w:id="13" w:name="_Toc63585686"/>
      <w:bookmarkStart w:id="14" w:name="_Toc66264899"/>
      <w:r>
        <w:t>一、总  则</w:t>
      </w:r>
      <w:bookmarkEnd w:id="13"/>
      <w:bookmarkEnd w:id="14"/>
    </w:p>
    <w:p>
      <w:pPr>
        <w:ind w:firstLine="482" w:firstLineChars="200"/>
        <w:rPr>
          <w:b/>
        </w:rPr>
      </w:pPr>
      <w:r>
        <w:rPr>
          <w:b/>
        </w:rPr>
        <w:t>（一）适用范围</w:t>
      </w:r>
    </w:p>
    <w:p>
      <w:pPr>
        <w:ind w:firstLine="480" w:firstLineChars="200"/>
        <w:rPr>
          <w:b/>
          <w:bCs/>
        </w:rPr>
      </w:pPr>
      <w:r>
        <w:t>本招标文件适用于本次招标文件中的招标、评标、定标、验收、合同履约、付款等（法律、法规另有规定的，从其规定）。</w:t>
      </w:r>
    </w:p>
    <w:p>
      <w:pPr>
        <w:snapToGrid w:val="0"/>
        <w:ind w:firstLine="482" w:firstLineChars="200"/>
        <w:jc w:val="left"/>
        <w:rPr>
          <w:b/>
        </w:rPr>
      </w:pPr>
      <w:bookmarkStart w:id="15" w:name="_Toc63585244"/>
      <w:r>
        <w:rPr>
          <w:b/>
        </w:rPr>
        <w:t>（二）定义</w:t>
      </w:r>
      <w:bookmarkEnd w:id="15"/>
    </w:p>
    <w:p>
      <w:pPr>
        <w:snapToGrid w:val="0"/>
        <w:ind w:firstLine="480" w:firstLineChars="200"/>
        <w:jc w:val="left"/>
      </w:pPr>
      <w:r>
        <w:t>1</w:t>
      </w:r>
      <w:r>
        <w:rPr>
          <w:rFonts w:hint="eastAsia"/>
        </w:rPr>
        <w:t>、</w:t>
      </w:r>
      <w:r>
        <w:t xml:space="preserve"> 招标方：系指的是采购人和采购代理机构；</w:t>
      </w:r>
    </w:p>
    <w:p>
      <w:pPr>
        <w:snapToGrid w:val="0"/>
        <w:ind w:firstLine="480" w:firstLineChars="200"/>
        <w:jc w:val="left"/>
      </w:pPr>
      <w:r>
        <w:t>2</w:t>
      </w:r>
      <w:r>
        <w:rPr>
          <w:rFonts w:hint="eastAsia"/>
        </w:rPr>
        <w:t>、</w:t>
      </w:r>
      <w:r>
        <w:t>“投标人”系指向采购机构提交投标文件的单位。</w:t>
      </w:r>
    </w:p>
    <w:p>
      <w:pPr>
        <w:snapToGrid w:val="0"/>
        <w:ind w:firstLine="480" w:firstLineChars="200"/>
        <w:jc w:val="left"/>
      </w:pPr>
      <w:r>
        <w:t>3</w:t>
      </w:r>
      <w:r>
        <w:rPr>
          <w:rFonts w:hint="eastAsia"/>
        </w:rPr>
        <w:t>、</w:t>
      </w:r>
      <w:r>
        <w:t>“书面形式”包括信函、传真、电报等。</w:t>
      </w:r>
    </w:p>
    <w:p>
      <w:pPr>
        <w:snapToGrid w:val="0"/>
        <w:ind w:firstLine="480" w:firstLineChars="200"/>
        <w:jc w:val="left"/>
      </w:pPr>
      <w:r>
        <w:t>4</w:t>
      </w:r>
      <w:r>
        <w:rPr>
          <w:rFonts w:hint="eastAsia"/>
        </w:rPr>
        <w:t>、</w:t>
      </w:r>
      <w:r>
        <w:t>“</w:t>
      </w:r>
      <w:r>
        <w:rPr>
          <w:rFonts w:ascii="宋体" w:hAnsi="宋体"/>
        </w:rPr>
        <w:t>●</w:t>
      </w:r>
      <w:r>
        <w:t>”系指实质性要求条款。</w:t>
      </w:r>
    </w:p>
    <w:p>
      <w:pPr>
        <w:snapToGrid w:val="0"/>
        <w:ind w:firstLine="482" w:firstLineChars="200"/>
        <w:jc w:val="left"/>
        <w:rPr>
          <w:b/>
          <w:bCs/>
        </w:rPr>
      </w:pPr>
      <w:r>
        <w:rPr>
          <w:b/>
          <w:bCs/>
        </w:rPr>
        <w:t>（三）投标人及委托有关说明</w:t>
      </w:r>
    </w:p>
    <w:p>
      <w:r>
        <w:rPr>
          <w:b/>
        </w:rPr>
        <w:t xml:space="preserve">     1、授权代表：非联合体投标人代表：</w:t>
      </w:r>
      <w:r>
        <w:rPr>
          <w:kern w:val="0"/>
        </w:rPr>
        <w:t>应当是投标人在职正式职工，如投标人代表是法定代表人，投标文件中须提供法定代表人</w:t>
      </w:r>
      <w:r>
        <w:t>有效身份证件复印件（正反面）；如投标人代表不是法定代表人，</w:t>
      </w:r>
      <w:r>
        <w:rPr>
          <w:kern w:val="0"/>
        </w:rPr>
        <w:t>投标文件中</w:t>
      </w:r>
      <w:r>
        <w:t>须提供本人有效身份证件复印件（正反面）、法定代表人授权委托书及其在本单位社保缴纳证明（加盖社保部门公章）。</w:t>
      </w:r>
    </w:p>
    <w:p>
      <w:pPr>
        <w:snapToGrid w:val="0"/>
        <w:ind w:firstLine="482" w:firstLineChars="200"/>
        <w:jc w:val="left"/>
      </w:pPr>
      <w:r>
        <w:rPr>
          <w:b/>
        </w:rPr>
        <w:t>授权委托书必须按照附件所提供格式填写。</w:t>
      </w:r>
    </w:p>
    <w:p>
      <w:pPr>
        <w:pStyle w:val="9"/>
        <w:snapToGrid w:val="0"/>
        <w:ind w:left="2" w:leftChars="1" w:firstLine="480" w:firstLineChars="200"/>
        <w:rPr>
          <w:rFonts w:ascii="Times New Roman" w:hAnsi="Times New Roman"/>
          <w:szCs w:val="24"/>
        </w:rPr>
      </w:pPr>
      <w:r>
        <w:rPr>
          <w:rFonts w:ascii="Times New Roman" w:hAnsi="Times New Roman"/>
          <w:szCs w:val="24"/>
        </w:rPr>
        <w:t>2</w:t>
      </w:r>
      <w:r>
        <w:rPr>
          <w:rFonts w:hint="eastAsia" w:ascii="Times New Roman" w:hAnsi="Times New Roman"/>
          <w:szCs w:val="24"/>
        </w:rPr>
        <w:t>、</w:t>
      </w:r>
      <w:r>
        <w:rPr>
          <w:rFonts w:ascii="Times New Roman" w:hAnsi="Times New Roman"/>
          <w:szCs w:val="24"/>
        </w:rPr>
        <w:t>如果项目允许联合体投标，供应商以联合体形式参加政府采购活动的，联合体各方不得再单独参加或者与其他供应商另外组成联合体参加同一合同项下的政府采购活动。</w:t>
      </w:r>
    </w:p>
    <w:p>
      <w:pPr>
        <w:snapToGrid w:val="0"/>
        <w:ind w:firstLine="480" w:firstLineChars="200"/>
      </w:pPr>
      <w:r>
        <w:t>3</w:t>
      </w:r>
      <w:r>
        <w:rPr>
          <w:rFonts w:hint="eastAsia"/>
        </w:rPr>
        <w:t>、</w:t>
      </w:r>
      <w:r>
        <w:t>单位负责人为同一人或者存在直接控股、管理关系的不同供应商，不得参加同一合同项下的政府采购活动。</w:t>
      </w:r>
    </w:p>
    <w:p>
      <w:pPr>
        <w:pStyle w:val="9"/>
        <w:snapToGrid w:val="0"/>
        <w:ind w:left="2" w:leftChars="1" w:firstLine="480" w:firstLineChars="200"/>
        <w:rPr>
          <w:rFonts w:ascii="Times New Roman" w:hAnsi="Times New Roman"/>
          <w:szCs w:val="24"/>
        </w:rPr>
      </w:pPr>
      <w:r>
        <w:rPr>
          <w:rFonts w:ascii="Times New Roman" w:hAnsi="Times New Roman"/>
          <w:szCs w:val="24"/>
        </w:rPr>
        <w:t>4</w:t>
      </w:r>
      <w:r>
        <w:rPr>
          <w:rFonts w:hint="eastAsia" w:ascii="Times New Roman" w:hAnsi="Times New Roman"/>
          <w:szCs w:val="24"/>
        </w:rPr>
        <w:t>、</w:t>
      </w:r>
      <w:r>
        <w:rPr>
          <w:rFonts w:ascii="Times New Roman" w:hAnsi="Times New Roman"/>
          <w:szCs w:val="24"/>
        </w:rPr>
        <w:t>投标人应仔细阅读招标文件的所有内容，按照招标文件的要求提交投标文件，并对所提供的全部资料的真实性承担法律责任。</w:t>
      </w:r>
    </w:p>
    <w:p>
      <w:pPr>
        <w:adjustRightInd w:val="0"/>
        <w:snapToGrid w:val="0"/>
        <w:ind w:firstLine="480" w:firstLineChars="200"/>
      </w:pPr>
      <w:r>
        <w:t>5</w:t>
      </w:r>
      <w:r>
        <w:rPr>
          <w:rFonts w:hint="eastAsia"/>
        </w:rPr>
        <w:t>、</w:t>
      </w:r>
      <w:r>
        <w:t>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snapToGrid w:val="0"/>
        <w:ind w:firstLine="472" w:firstLineChars="196"/>
        <w:jc w:val="left"/>
        <w:rPr>
          <w:b/>
          <w:bCs/>
        </w:rPr>
      </w:pPr>
      <w:bookmarkStart w:id="16" w:name="_Toc63585245"/>
      <w:r>
        <w:rPr>
          <w:b/>
          <w:bCs/>
        </w:rPr>
        <w:t>（四）投标费用</w:t>
      </w:r>
      <w:bookmarkEnd w:id="16"/>
    </w:p>
    <w:p>
      <w:pPr>
        <w:snapToGrid w:val="0"/>
        <w:ind w:firstLine="480" w:firstLineChars="200"/>
      </w:pPr>
      <w:r>
        <w:t>不论投标结果如何，投标人均应自行承担所有与投标有关的全部费用（招标文件有其他相反规定除外）。</w:t>
      </w:r>
    </w:p>
    <w:p>
      <w:pPr>
        <w:snapToGrid w:val="0"/>
        <w:ind w:firstLine="482" w:firstLineChars="200"/>
        <w:jc w:val="left"/>
        <w:rPr>
          <w:b/>
          <w:bCs/>
        </w:rPr>
      </w:pPr>
      <w:bookmarkStart w:id="17" w:name="_Toc63585246"/>
      <w:r>
        <w:rPr>
          <w:rFonts w:hint="eastAsia"/>
          <w:b/>
          <w:bCs/>
        </w:rPr>
        <w:t>（五）</w:t>
      </w:r>
      <w:r>
        <w:rPr>
          <w:b/>
          <w:bCs/>
        </w:rPr>
        <w:t>质疑</w:t>
      </w:r>
      <w:bookmarkEnd w:id="17"/>
    </w:p>
    <w:p>
      <w:pPr>
        <w:adjustRightInd w:val="0"/>
        <w:snapToGrid w:val="0"/>
        <w:ind w:firstLine="480" w:firstLineChars="200"/>
      </w:pPr>
      <w: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pPr>
        <w:adjustRightInd w:val="0"/>
        <w:snapToGrid w:val="0"/>
        <w:ind w:firstLine="480" w:firstLineChars="200"/>
      </w:pPr>
      <w:r>
        <w:t>2、接收质疑函的方式：直接递交、传真或邮寄方式。</w:t>
      </w:r>
    </w:p>
    <w:p>
      <w:pPr>
        <w:adjustRightInd w:val="0"/>
        <w:snapToGrid w:val="0"/>
        <w:ind w:firstLine="480" w:firstLineChars="200"/>
      </w:pPr>
      <w:r>
        <w:t>3、供应商对采购代理机构的质疑答复不满意或者采购代理机构未在规定时间内作出答复的，可以在答复期满后十五个工作日内向同级政府采购监督管理部门临平区财政局投诉，联系电话为0571-89180113。</w:t>
      </w:r>
    </w:p>
    <w:p>
      <w:pPr>
        <w:adjustRightInd w:val="0"/>
        <w:snapToGrid w:val="0"/>
        <w:ind w:firstLine="480" w:firstLineChars="200"/>
        <w:jc w:val="left"/>
      </w:pPr>
      <w:r>
        <w:t>4、质疑函、投诉书范本下载地址：http：//www.yhggzy.com.cn/web_news/WebNewsView.aspx?ViewID=326&amp;ID=4991</w:t>
      </w:r>
    </w:p>
    <w:p>
      <w:pPr>
        <w:snapToGrid w:val="0"/>
        <w:ind w:firstLine="357" w:firstLineChars="148"/>
        <w:jc w:val="left"/>
        <w:rPr>
          <w:b/>
          <w:bCs/>
        </w:rPr>
      </w:pPr>
      <w:bookmarkStart w:id="18" w:name="_Toc63585247"/>
      <w:r>
        <w:rPr>
          <w:b/>
          <w:bCs/>
        </w:rPr>
        <w:t>（六）招标文件的澄清与修改</w:t>
      </w:r>
      <w:bookmarkEnd w:id="18"/>
      <w:r>
        <w:rPr>
          <w:b/>
          <w:bCs/>
        </w:rPr>
        <w:t xml:space="preserve"> </w:t>
      </w:r>
    </w:p>
    <w:p>
      <w:pPr>
        <w:adjustRightInd w:val="0"/>
        <w:snapToGrid w:val="0"/>
        <w:ind w:firstLine="480" w:firstLineChars="200"/>
      </w:pPr>
      <w:r>
        <w:rPr>
          <w:bCs/>
        </w:rPr>
        <w:t>1、投标人应认真阅读本招标文件，发现其中有误或有不合理要求的，投标人必须以书面形式要求招标采购单位澄清</w:t>
      </w:r>
      <w:r>
        <w:t>。招标采购单位对已发出的招标文件进行必要澄清、答复、修改或补充的，应当在采购信息发布媒体上发布更正公告（更正公告发布网站：浙江政府采购网、杭州余杭政府门户网站）。</w:t>
      </w:r>
    </w:p>
    <w:p>
      <w:pPr>
        <w:adjustRightInd w:val="0"/>
        <w:snapToGrid w:val="0"/>
        <w:ind w:firstLine="480" w:firstLineChars="200"/>
        <w:rPr>
          <w:b/>
        </w:rPr>
      </w:pPr>
      <w:r>
        <w:t>2、招标文件澄清、答复、修改、补充的内容为招标文件的组成部分。当招标文件与招标文件的答复、澄清、修改、补充通知就同一内容的表述不一致时，以最后发出的更正公告为准。</w:t>
      </w:r>
    </w:p>
    <w:p>
      <w:pPr>
        <w:pStyle w:val="17"/>
      </w:pPr>
      <w:bookmarkStart w:id="19" w:name="_Toc66264900"/>
      <w:bookmarkStart w:id="20" w:name="_Toc63585248"/>
      <w:bookmarkStart w:id="21" w:name="_Toc63585687"/>
      <w:r>
        <w:t>二</w:t>
      </w:r>
      <w:r>
        <w:rPr>
          <w:rFonts w:hint="eastAsia"/>
        </w:rPr>
        <w:t>、</w:t>
      </w:r>
      <w:r>
        <w:t>投标文件的编制</w:t>
      </w:r>
      <w:bookmarkEnd w:id="19"/>
      <w:bookmarkEnd w:id="20"/>
      <w:bookmarkEnd w:id="21"/>
    </w:p>
    <w:p>
      <w:pPr>
        <w:snapToGrid w:val="0"/>
        <w:ind w:firstLine="472" w:firstLineChars="196"/>
        <w:jc w:val="left"/>
        <w:rPr>
          <w:b/>
        </w:rPr>
      </w:pPr>
      <w:r>
        <w:rPr>
          <w:b/>
        </w:rPr>
        <w:t>（一）投标文件的形式和效力</w:t>
      </w:r>
    </w:p>
    <w:p>
      <w:pPr>
        <w:adjustRightInd w:val="0"/>
        <w:snapToGrid w:val="0"/>
        <w:ind w:firstLine="482" w:firstLineChars="200"/>
        <w:rPr>
          <w:b/>
        </w:rPr>
      </w:pPr>
      <w:r>
        <w:rPr>
          <w:b/>
        </w:rPr>
        <w:t>投标文件分为电子投标文件以及以介质存储的数据电文形式的备份投标文件。</w:t>
      </w:r>
    </w:p>
    <w:p>
      <w:pPr>
        <w:adjustRightInd w:val="0"/>
        <w:snapToGrid w:val="0"/>
        <w:ind w:firstLine="482" w:firstLineChars="200"/>
        <w:rPr>
          <w:b/>
        </w:rPr>
      </w:pPr>
      <w:r>
        <w:rPr>
          <w:b/>
        </w:rPr>
        <w:t>1</w:t>
      </w:r>
      <w:r>
        <w:rPr>
          <w:rFonts w:hint="eastAsia"/>
          <w:b/>
        </w:rPr>
        <w:t>、</w:t>
      </w:r>
      <w:r>
        <w:rPr>
          <w:b/>
        </w:rPr>
        <w:t>电子投标文件，按“政采云供应商项目采购-电子招投标操作指南”及本招标文件要求制作、加密并递交。</w:t>
      </w:r>
    </w:p>
    <w:p>
      <w:pPr>
        <w:adjustRightInd w:val="0"/>
        <w:snapToGrid w:val="0"/>
        <w:ind w:firstLine="482" w:firstLineChars="200"/>
        <w:rPr>
          <w:b/>
        </w:rPr>
      </w:pPr>
      <w:r>
        <w:rPr>
          <w:b/>
        </w:rPr>
        <w:t>2</w:t>
      </w:r>
      <w:r>
        <w:rPr>
          <w:rFonts w:hint="eastAsia"/>
          <w:b/>
        </w:rPr>
        <w:t>、</w:t>
      </w:r>
      <w:r>
        <w:rPr>
          <w:b/>
        </w:rPr>
        <w:t>以介质存储的数据电文形式的备份投标文件，即电子投标文件按“政采云供应商项目采购-电子招投标操作指南”制作的备份文件。</w:t>
      </w:r>
    </w:p>
    <w:p>
      <w:pPr>
        <w:adjustRightInd w:val="0"/>
        <w:snapToGrid w:val="0"/>
        <w:ind w:firstLine="482" w:firstLineChars="200"/>
        <w:rPr>
          <w:b/>
        </w:rPr>
      </w:pPr>
      <w:r>
        <w:rPr>
          <w:b/>
        </w:rPr>
        <w:t>3</w:t>
      </w:r>
      <w:r>
        <w:rPr>
          <w:rFonts w:hint="eastAsia"/>
          <w:b/>
        </w:rPr>
        <w:t>、</w:t>
      </w:r>
      <w:r>
        <w:rPr>
          <w:b/>
        </w:rPr>
        <w:t>投标文件的效力</w:t>
      </w:r>
    </w:p>
    <w:p>
      <w:pPr>
        <w:adjustRightInd w:val="0"/>
        <w:snapToGrid w:val="0"/>
        <w:ind w:firstLine="482" w:firstLineChars="200"/>
        <w:rPr>
          <w:b/>
        </w:rPr>
      </w:pPr>
      <w:r>
        <w:rPr>
          <w:b/>
        </w:rPr>
        <w:t>投标文件的启用，按先后顺位分别为电子投标文件、以介质存储的数据电文形式的备份投标文件。在下一顺位的投标文件启用时，前一顺位的投标文件自动失效。</w:t>
      </w:r>
    </w:p>
    <w:p>
      <w:r>
        <w:t>（二）投标文件的组成</w:t>
      </w:r>
    </w:p>
    <w:p>
      <w:pPr>
        <w:ind w:firstLine="480" w:firstLineChars="200"/>
      </w:pPr>
      <w:r>
        <w:t>投标文件组成均为资质文件、技术及商务文件、投标报价文件三部份组成。其中电子投标文件中所须加盖公章部分均采用CA签章。</w:t>
      </w:r>
    </w:p>
    <w:p>
      <w:pPr>
        <w:ind w:firstLine="482" w:firstLineChars="200"/>
        <w:rPr>
          <w:b/>
        </w:rPr>
      </w:pPr>
      <w:r>
        <w:rPr>
          <w:rFonts w:hint="eastAsia"/>
          <w:b/>
        </w:rPr>
        <w:t>1、</w:t>
      </w:r>
      <w:r>
        <w:rPr>
          <w:b/>
        </w:rPr>
        <w:t>资质文件（不含报价）：</w:t>
      </w:r>
    </w:p>
    <w:p>
      <w:pPr>
        <w:ind w:firstLine="480" w:firstLineChars="200"/>
      </w:pPr>
      <w:r>
        <w:t>（1）投标声明书 （格式见附件，含重大违法记录声明）</w:t>
      </w:r>
      <w:r>
        <w:rPr>
          <w:bCs/>
        </w:rPr>
        <w:t>（</w:t>
      </w:r>
      <w:r>
        <w:rPr>
          <w:b/>
          <w:bCs/>
        </w:rPr>
        <w:t>提供</w:t>
      </w:r>
      <w:r>
        <w:rPr>
          <w:bCs/>
        </w:rPr>
        <w:t>）</w:t>
      </w:r>
      <w:r>
        <w:t>；</w:t>
      </w:r>
    </w:p>
    <w:p>
      <w:pPr>
        <w:ind w:firstLine="480" w:firstLineChars="200"/>
        <w:rPr>
          <w:bCs/>
        </w:rPr>
      </w:pPr>
      <w:r>
        <w:rPr>
          <w:rFonts w:hint="eastAsia"/>
        </w:rPr>
        <w:t>（</w:t>
      </w:r>
      <w:r>
        <w:t>2）授权代表证明资料：</w:t>
      </w:r>
      <w:r>
        <w:fldChar w:fldCharType="begin"/>
      </w:r>
      <w:r>
        <w:instrText xml:space="preserve"> = 1 \* GB3 \* MERGEFORMAT </w:instrText>
      </w:r>
      <w:r>
        <w:fldChar w:fldCharType="separate"/>
      </w:r>
      <w:r>
        <w:rPr>
          <w:rFonts w:hint="eastAsia" w:ascii="宋体" w:hAnsi="宋体" w:cs="宋体"/>
        </w:rPr>
        <w:t>①</w:t>
      </w:r>
      <w:r>
        <w:fldChar w:fldCharType="end"/>
      </w:r>
      <w:r>
        <w:t>非联合体投标人代表：</w:t>
      </w:r>
      <w:r>
        <w:rPr>
          <w:bCs/>
        </w:rPr>
        <w:t>如</w:t>
      </w:r>
      <w:r>
        <w:rPr>
          <w:kern w:val="0"/>
        </w:rPr>
        <w:t>投标人代表是法定代表人，投标文件中须</w:t>
      </w:r>
      <w:r>
        <w:rPr>
          <w:b/>
          <w:kern w:val="0"/>
        </w:rPr>
        <w:t>提供</w:t>
      </w:r>
      <w:r>
        <w:rPr>
          <w:kern w:val="0"/>
        </w:rPr>
        <w:t>法定代表人</w:t>
      </w:r>
      <w:r>
        <w:t>有效身份证件复印件（正反面）；如投标人代表不是法定代表人，</w:t>
      </w:r>
      <w:r>
        <w:rPr>
          <w:kern w:val="0"/>
        </w:rPr>
        <w:t>投标文件中</w:t>
      </w:r>
      <w:r>
        <w:t>须</w:t>
      </w:r>
      <w:r>
        <w:rPr>
          <w:b/>
        </w:rPr>
        <w:t>提供</w:t>
      </w:r>
      <w:r>
        <w:t>本人有效身份证件复印件（正反面）、法定代表人授权委托书（格工见附件）及其在本单位社保缴纳证明（加盖社保部门公章）。</w:t>
      </w:r>
      <w:r>
        <w:rPr>
          <w:bCs/>
        </w:rPr>
        <w:t>（</w:t>
      </w:r>
      <w:r>
        <w:rPr>
          <w:b/>
          <w:bCs/>
        </w:rPr>
        <w:t>提供</w:t>
      </w:r>
      <w:r>
        <w:rPr>
          <w:bCs/>
        </w:rPr>
        <w:t>）</w:t>
      </w:r>
    </w:p>
    <w:p>
      <w:pPr>
        <w:ind w:firstLine="480" w:firstLineChars="200"/>
        <w:rPr>
          <w:bCs/>
        </w:rPr>
      </w:pPr>
      <w:r>
        <w:rPr>
          <w:bCs/>
        </w:rPr>
        <w:fldChar w:fldCharType="begin"/>
      </w:r>
      <w:r>
        <w:rPr>
          <w:bCs/>
        </w:rPr>
        <w:instrText xml:space="preserve"> = 2 \* GB3 \* MERGEFORMAT </w:instrText>
      </w:r>
      <w:r>
        <w:rPr>
          <w:bCs/>
        </w:rPr>
        <w:fldChar w:fldCharType="separate"/>
      </w:r>
      <w:r>
        <w:rPr>
          <w:rFonts w:hint="eastAsia" w:ascii="宋体" w:hAnsi="宋体" w:cs="宋体"/>
        </w:rPr>
        <w:t>②</w:t>
      </w:r>
      <w:r>
        <w:rPr>
          <w:bCs/>
        </w:rPr>
        <w:fldChar w:fldCharType="end"/>
      </w:r>
      <w:r>
        <w:rPr>
          <w:bCs/>
        </w:rPr>
        <w:t>联合体投标人代表：</w:t>
      </w:r>
      <w:r>
        <w:rPr>
          <w:kern w:val="0"/>
        </w:rPr>
        <w:t>投标文件中</w:t>
      </w:r>
      <w:r>
        <w:t>须</w:t>
      </w:r>
      <w:r>
        <w:rPr>
          <w:b/>
        </w:rPr>
        <w:t>提供</w:t>
      </w:r>
      <w:r>
        <w:t>本人有效身份证件（正反面）、联合投标授权委托书（格式见附件）以及其在本单位社保缴纳证明（加盖社保部门公章）。</w:t>
      </w:r>
      <w:r>
        <w:rPr>
          <w:bCs/>
        </w:rPr>
        <w:t>（如果项目允许联合体投标且投标人符合上述情形，</w:t>
      </w:r>
      <w:r>
        <w:rPr>
          <w:b/>
          <w:bCs/>
        </w:rPr>
        <w:t>提供</w:t>
      </w:r>
      <w:r>
        <w:rPr>
          <w:bCs/>
        </w:rPr>
        <w:t>）</w:t>
      </w:r>
    </w:p>
    <w:p>
      <w:pPr>
        <w:ind w:firstLine="480" w:firstLineChars="200"/>
      </w:pPr>
      <w:r>
        <w:t>（3）</w:t>
      </w:r>
      <w:r>
        <w:rPr>
          <w:b/>
        </w:rPr>
        <w:t>提供</w:t>
      </w:r>
      <w:r>
        <w:t>有效的依法缴纳税收证明（完税凭证或税务部门出具的证明）</w:t>
      </w:r>
      <w:r>
        <w:rPr>
          <w:bCs/>
        </w:rPr>
        <w:t>（</w:t>
      </w:r>
      <w:r>
        <w:rPr>
          <w:b/>
          <w:bCs/>
        </w:rPr>
        <w:t>提供</w:t>
      </w:r>
      <w:r>
        <w:rPr>
          <w:bCs/>
        </w:rPr>
        <w:t>）</w:t>
      </w:r>
      <w:r>
        <w:t>；</w:t>
      </w:r>
    </w:p>
    <w:p>
      <w:pPr>
        <w:ind w:firstLine="480" w:firstLineChars="200"/>
      </w:pPr>
      <w:r>
        <w:t>（4）营业执照（或事业单位法人登记证书或其他工商等登记证明材料）复印件</w:t>
      </w:r>
      <w:r>
        <w:rPr>
          <w:bCs/>
        </w:rPr>
        <w:t>（</w:t>
      </w:r>
      <w:r>
        <w:rPr>
          <w:b/>
          <w:bCs/>
        </w:rPr>
        <w:t>提供</w:t>
      </w:r>
      <w:r>
        <w:rPr>
          <w:bCs/>
        </w:rPr>
        <w:t>）</w:t>
      </w:r>
      <w:r>
        <w:t>；</w:t>
      </w:r>
    </w:p>
    <w:p>
      <w:pPr>
        <w:ind w:firstLine="480" w:firstLineChars="200"/>
      </w:pPr>
      <w:r>
        <w:t>（5）组织机构代码证、社保登记证（或供应商一年内缴纳过的社保缴纳花名册）、税务登记证复印件。（招标文件另有规定除外）</w:t>
      </w:r>
      <w:r>
        <w:rPr>
          <w:bCs/>
        </w:rPr>
        <w:t>（</w:t>
      </w:r>
      <w:r>
        <w:rPr>
          <w:b/>
          <w:bCs/>
        </w:rPr>
        <w:t>提供</w:t>
      </w:r>
      <w:r>
        <w:rPr>
          <w:bCs/>
        </w:rPr>
        <w:t>）</w:t>
      </w:r>
      <w:r>
        <w:t>；</w:t>
      </w:r>
    </w:p>
    <w:p>
      <w:pPr>
        <w:ind w:firstLine="480" w:firstLineChars="200"/>
      </w:pPr>
      <w:r>
        <w:t>（6）金融、保险、通讯等特定行业的全国性企业所设立的区域性分支机构，以及个体工商户、个人独资企业、合伙企业独立参加政府采购活动时还须提供：总公司（总机构）授权原件（格式见附件）或房产权证（复印件）或其他有效财产证明材料（复印件）</w:t>
      </w:r>
      <w:r>
        <w:rPr>
          <w:bCs/>
        </w:rPr>
        <w:t>（如投标人符合上述情形，提供）</w:t>
      </w:r>
      <w:r>
        <w:t>；</w:t>
      </w:r>
    </w:p>
    <w:p>
      <w:pPr>
        <w:ind w:firstLine="480" w:firstLineChars="200"/>
      </w:pPr>
      <w:r>
        <w:t>（7）</w:t>
      </w:r>
      <w:r>
        <w:rPr>
          <w:b/>
        </w:rPr>
        <w:t>提供</w:t>
      </w:r>
      <w:r>
        <w:t>采购公告中符合</w:t>
      </w:r>
      <w:r>
        <w:rPr>
          <w:bCs/>
        </w:rPr>
        <w:t>投标人特定条件要求的有效的</w:t>
      </w:r>
      <w:r>
        <w:t>其他资质复印件并加盖公司公章及需要说明的资料</w:t>
      </w:r>
      <w:r>
        <w:rPr>
          <w:bCs/>
        </w:rPr>
        <w:t>（如招标文件有要求，</w:t>
      </w:r>
      <w:r>
        <w:rPr>
          <w:b/>
          <w:bCs/>
        </w:rPr>
        <w:t>提供</w:t>
      </w:r>
      <w:r>
        <w:rPr>
          <w:bCs/>
        </w:rPr>
        <w:t>）</w:t>
      </w:r>
      <w:r>
        <w:t>；</w:t>
      </w:r>
    </w:p>
    <w:p>
      <w:pPr>
        <w:ind w:firstLine="480" w:firstLineChars="200"/>
        <w:rPr>
          <w:bCs/>
        </w:rPr>
      </w:pPr>
      <w:r>
        <w:t xml:space="preserve"> （8）</w:t>
      </w:r>
      <w:r>
        <w:rPr>
          <w:kern w:val="0"/>
          <w:shd w:val="clear" w:color="auto" w:fill="FFFFFF"/>
        </w:rPr>
        <w:t>联合投标协议书（</w:t>
      </w:r>
      <w:r>
        <w:t>如果项目允许联合体投标）（格式见附件）</w:t>
      </w:r>
      <w:r>
        <w:rPr>
          <w:bCs/>
        </w:rPr>
        <w:t>（如投标人符合上述情形，</w:t>
      </w:r>
      <w:r>
        <w:rPr>
          <w:b/>
          <w:bCs/>
        </w:rPr>
        <w:t>提供</w:t>
      </w:r>
      <w:r>
        <w:rPr>
          <w:bCs/>
        </w:rPr>
        <w:t>）；</w:t>
      </w:r>
    </w:p>
    <w:p>
      <w:pPr>
        <w:ind w:firstLine="456" w:firstLineChars="200"/>
        <w:rPr>
          <w:bCs/>
        </w:rPr>
      </w:pPr>
      <w:r>
        <w:rPr>
          <w:bCs/>
          <w:spacing w:val="-6"/>
        </w:rPr>
        <w:t>无失信行为承诺书</w:t>
      </w:r>
      <w:r>
        <w:rPr>
          <w:bCs/>
        </w:rPr>
        <w:t>（格式见附件）（</w:t>
      </w:r>
      <w:r>
        <w:rPr>
          <w:b/>
          <w:bCs/>
        </w:rPr>
        <w:t>提供</w:t>
      </w:r>
      <w:r>
        <w:rPr>
          <w:bCs/>
        </w:rPr>
        <w:t>）。</w:t>
      </w:r>
    </w:p>
    <w:p>
      <w:pPr>
        <w:ind w:firstLine="482" w:firstLineChars="200"/>
        <w:rPr>
          <w:b/>
        </w:rPr>
      </w:pPr>
      <w:r>
        <w:rPr>
          <w:rFonts w:hint="eastAsia"/>
          <w:b/>
        </w:rPr>
        <w:t>2、</w:t>
      </w:r>
      <w:r>
        <w:rPr>
          <w:b/>
        </w:rPr>
        <w:t>技术及商务文件（不含报价）：</w:t>
      </w:r>
    </w:p>
    <w:p>
      <w:pPr>
        <w:ind w:firstLine="480" w:firstLineChars="200"/>
        <w:rPr>
          <w:bCs/>
        </w:rPr>
      </w:pPr>
      <w:r>
        <w:t>（1）评分对应表（格式见附件）</w:t>
      </w:r>
      <w:r>
        <w:rPr>
          <w:bCs/>
        </w:rPr>
        <w:t>（</w:t>
      </w:r>
      <w:r>
        <w:rPr>
          <w:b/>
          <w:bCs/>
        </w:rPr>
        <w:t>提供</w:t>
      </w:r>
      <w:r>
        <w:rPr>
          <w:bCs/>
        </w:rPr>
        <w:t>）</w:t>
      </w:r>
    </w:p>
    <w:p>
      <w:pPr>
        <w:ind w:firstLine="480" w:firstLineChars="200"/>
      </w:pPr>
      <w:r>
        <w:t>（2）技术及商务响应表（格式见附件）</w:t>
      </w:r>
      <w:r>
        <w:rPr>
          <w:bCs/>
        </w:rPr>
        <w:t>（</w:t>
      </w:r>
      <w:r>
        <w:rPr>
          <w:b/>
          <w:bCs/>
        </w:rPr>
        <w:t>提供</w:t>
      </w:r>
      <w:r>
        <w:rPr>
          <w:bCs/>
        </w:rPr>
        <w:t>）</w:t>
      </w:r>
      <w:r>
        <w:t>；</w:t>
      </w:r>
    </w:p>
    <w:p>
      <w:pPr>
        <w:ind w:firstLine="480" w:firstLineChars="200"/>
      </w:pPr>
      <w:r>
        <w:t>（3）项目总体解决方案（可包含且不限于对项目总体要求的理解、项目总体架构及技术解决方案等）（如有）；</w:t>
      </w:r>
    </w:p>
    <w:p>
      <w:pPr>
        <w:ind w:firstLine="480" w:firstLineChars="200"/>
      </w:pPr>
      <w:r>
        <w:t>（4）项目实施计划（可包含且不限于保证工期的施工组织方案及人力资源安排、项目组人员清单（格式见附件）等）（如有）；</w:t>
      </w:r>
    </w:p>
    <w:p>
      <w:pPr>
        <w:ind w:firstLine="480" w:firstLineChars="200"/>
      </w:pPr>
      <w:r>
        <w:t>（5）售后服务计划（可包含且不限于对用户故障的响应、处理、定期巡检、备品备件、常用耗材</w:t>
      </w:r>
      <w:r>
        <w:rPr>
          <w:b/>
        </w:rPr>
        <w:t>提供</w:t>
      </w:r>
      <w:r>
        <w:t>、驻点人员情况等）（如有）；</w:t>
      </w:r>
    </w:p>
    <w:p>
      <w:pPr>
        <w:ind w:firstLine="480" w:firstLineChars="200"/>
      </w:pPr>
      <w:r>
        <w:t>（6）技术培训计划（如有）；</w:t>
      </w:r>
    </w:p>
    <w:p>
      <w:pPr>
        <w:ind w:firstLine="480" w:firstLineChars="200"/>
      </w:pPr>
      <w:r>
        <w:t>（7）投标人履约能力（可包含且不限于技术力量情况、投标人各项能力证书）（如有）；</w:t>
      </w:r>
    </w:p>
    <w:p>
      <w:pPr>
        <w:ind w:firstLine="480" w:firstLineChars="200"/>
      </w:pPr>
      <w:r>
        <w:t>（8）案例的业绩证明（投标人业绩情况一览表（格式见附件）、合同复印件等）（如有）；</w:t>
      </w:r>
    </w:p>
    <w:p>
      <w:pPr>
        <w:ind w:firstLine="480" w:firstLineChars="200"/>
      </w:pPr>
      <w:r>
        <w:t>（9）采购需求实质性内容响应表（格式见附件）</w:t>
      </w:r>
      <w:r>
        <w:rPr>
          <w:bCs/>
        </w:rPr>
        <w:t>（如果项目有实质性需求，</w:t>
      </w:r>
      <w:r>
        <w:rPr>
          <w:b/>
          <w:bCs/>
        </w:rPr>
        <w:t>提供</w:t>
      </w:r>
      <w:r>
        <w:rPr>
          <w:bCs/>
        </w:rPr>
        <w:t>）</w:t>
      </w:r>
      <w:r>
        <w:t>；</w:t>
      </w:r>
    </w:p>
    <w:p>
      <w:pPr>
        <w:ind w:firstLine="480" w:firstLineChars="200"/>
      </w:pPr>
      <w:r>
        <w:t>（10）投标方认为需要的其他文件资料（如有）。</w:t>
      </w:r>
    </w:p>
    <w:p>
      <w:pPr>
        <w:ind w:firstLine="482" w:firstLineChars="200"/>
        <w:rPr>
          <w:b/>
        </w:rPr>
      </w:pPr>
      <w:r>
        <w:rPr>
          <w:rFonts w:hint="eastAsia"/>
          <w:b/>
        </w:rPr>
        <w:t>3、报价文件：</w:t>
      </w:r>
    </w:p>
    <w:p>
      <w:pPr>
        <w:ind w:firstLine="480" w:firstLineChars="200"/>
      </w:pPr>
      <w:r>
        <w:rPr>
          <w:rFonts w:hint="eastAsia"/>
        </w:rPr>
        <w:t>（1）开标一览表（格式见附件）（</w:t>
      </w:r>
      <w:r>
        <w:rPr>
          <w:rFonts w:hint="eastAsia"/>
          <w:b/>
        </w:rPr>
        <w:t>提供</w:t>
      </w:r>
      <w:r>
        <w:rPr>
          <w:rFonts w:hint="eastAsia"/>
        </w:rPr>
        <w:t>）；</w:t>
      </w:r>
    </w:p>
    <w:p>
      <w:pPr>
        <w:ind w:firstLine="480" w:firstLineChars="200"/>
      </w:pPr>
      <w:r>
        <w:rPr>
          <w:rFonts w:hint="eastAsia"/>
        </w:rPr>
        <w:t>（2）中小微企业声明函及相关资料（如有）；</w:t>
      </w:r>
    </w:p>
    <w:p>
      <w:pPr>
        <w:ind w:firstLine="480" w:firstLineChars="200"/>
      </w:pPr>
      <w:r>
        <w:rPr>
          <w:rFonts w:hint="eastAsia"/>
        </w:rPr>
        <w:t>（3）残疾人福利企业声明函（如有）；</w:t>
      </w:r>
    </w:p>
    <w:p>
      <w:pPr>
        <w:ind w:firstLine="480" w:firstLineChars="200"/>
      </w:pPr>
      <w:r>
        <w:rPr>
          <w:rFonts w:hint="eastAsia"/>
        </w:rPr>
        <w:t>（4）投标人针对报价需要说明的其他文件和说明（如有）。</w:t>
      </w:r>
    </w:p>
    <w:p>
      <w:pPr>
        <w:ind w:firstLine="480" w:firstLineChars="200"/>
      </w:pPr>
      <w:r>
        <w:rPr>
          <w:rFonts w:hint="eastAsia"/>
        </w:rPr>
        <w:t>注：以上所有投标文件须按要求提供，未提供者视作投标无效。投标声明书、法定代表人授权委托书（联合投标授权委托书）、采购需求实质性内容响应表（如果项目有实质性需求）、开标一览表均必须按招标文件格式要求提供、正确签字、加盖投标人公章，否则将作无效标处理。资质文件、技术及商务文件中不得出现项目报价信息，否则将作无效标处理。</w:t>
      </w:r>
    </w:p>
    <w:p>
      <w:pPr>
        <w:ind w:firstLine="482" w:firstLineChars="200"/>
        <w:rPr>
          <w:b/>
        </w:rPr>
      </w:pPr>
      <w:r>
        <w:rPr>
          <w:rFonts w:hint="eastAsia"/>
          <w:b/>
        </w:rPr>
        <w:t>（三）投标文件的语言及计量</w:t>
      </w:r>
    </w:p>
    <w:p>
      <w:pPr>
        <w:ind w:firstLine="480" w:firstLineChars="200"/>
      </w:pPr>
      <w:r>
        <w:rPr>
          <w:rFonts w:hint="eastAsia"/>
        </w:rPr>
        <w:t>1、投标文件以及投标人与采购机构就有关投标事宜的所有来往函电，均应以中文汉语书写。除签名、盖章、专用名称等特殊情形外，以中文汉语以外的文字表述的投标文件视同未提供。</w:t>
      </w:r>
    </w:p>
    <w:p>
      <w:pPr>
        <w:ind w:firstLine="480" w:firstLineChars="200"/>
      </w:pPr>
      <w:r>
        <w:rPr>
          <w:rFonts w:hint="eastAsia"/>
        </w:rPr>
        <w:t>2、投标计量单位，招标文件已有明确规定的，使用招标文件规定的计量单位；招标文件没有规定的，应采用中华人民共和国法定计量单位（货币单位：人民币元），否则将作无效标处理。</w:t>
      </w:r>
    </w:p>
    <w:p>
      <w:pPr>
        <w:ind w:firstLine="482" w:firstLineChars="200"/>
        <w:rPr>
          <w:b/>
        </w:rPr>
      </w:pPr>
      <w:r>
        <w:rPr>
          <w:rFonts w:hint="eastAsia"/>
          <w:b/>
        </w:rPr>
        <w:t>（四）投标文件的有效期</w:t>
      </w:r>
    </w:p>
    <w:p>
      <w:pPr>
        <w:ind w:firstLine="480" w:firstLineChars="200"/>
      </w:pPr>
      <w:r>
        <w:rPr>
          <w:rFonts w:hint="eastAsia"/>
        </w:rPr>
        <w:t xml:space="preserve"> 1、自开标日起90天投标书应保持有效。有效期短于这个规定期限的投标将被拒绝。</w:t>
      </w:r>
    </w:p>
    <w:p>
      <w:pPr>
        <w:ind w:firstLine="480" w:firstLineChars="200"/>
      </w:pPr>
      <w:r>
        <w:rPr>
          <w:rFonts w:hint="eastAsia"/>
        </w:rPr>
        <w:t>2、中标人的投标文件自开标之日起至合同履行完毕止均应保持有效。</w:t>
      </w:r>
    </w:p>
    <w:p>
      <w:pPr>
        <w:ind w:firstLine="482" w:firstLineChars="200"/>
        <w:rPr>
          <w:b/>
        </w:rPr>
      </w:pPr>
      <w:r>
        <w:rPr>
          <w:rFonts w:hint="eastAsia"/>
          <w:b/>
        </w:rPr>
        <w:t>（五）投标文件的签署和份数、包装</w:t>
      </w:r>
    </w:p>
    <w:p>
      <w:pPr>
        <w:ind w:firstLine="480" w:firstLineChars="200"/>
      </w:pPr>
      <w:r>
        <w:rPr>
          <w:rFonts w:hint="eastAsia"/>
        </w:rPr>
        <w:t>1、电子投标文件部分：</w:t>
      </w:r>
    </w:p>
    <w:p>
      <w:pPr>
        <w:ind w:firstLine="480" w:firstLineChars="200"/>
      </w:pPr>
      <w:r>
        <w:rPr>
          <w:rFonts w:hint="eastAsia"/>
        </w:rPr>
        <w:t>投标人应根据“政采云供应商项目采购-电子招投标操作指南”及本招标文件规定的格式和顺序编制电子投标文件并进行关联定位。</w:t>
      </w:r>
    </w:p>
    <w:p>
      <w:pPr>
        <w:ind w:firstLine="480" w:firstLineChars="200"/>
      </w:pPr>
      <w:r>
        <w:rPr>
          <w:rFonts w:hint="eastAsia"/>
        </w:rPr>
        <w:t>2、以介质存储的数据电文形式的备份投标文件部分：</w:t>
      </w:r>
    </w:p>
    <w:p>
      <w:pPr>
        <w:ind w:firstLine="480" w:firstLineChars="200"/>
      </w:pPr>
      <w:r>
        <w:rPr>
          <w:rFonts w:hint="eastAsia"/>
        </w:rPr>
        <w:t>以DVD光盘形式存储，并单独密封递交。外包装封面及光盘上（用油性笔）注明投标人名称、投标项目名称、项目编号、标项等。</w:t>
      </w:r>
    </w:p>
    <w:p>
      <w:pPr>
        <w:ind w:firstLine="482" w:firstLineChars="200"/>
        <w:rPr>
          <w:b/>
        </w:rPr>
      </w:pPr>
      <w:r>
        <w:rPr>
          <w:rFonts w:hint="eastAsia"/>
          <w:b/>
        </w:rPr>
        <w:t>（六）投标报价</w:t>
      </w:r>
    </w:p>
    <w:p>
      <w:pPr>
        <w:ind w:firstLine="480" w:firstLineChars="200"/>
      </w:pPr>
      <w:r>
        <w:rPr>
          <w:rFonts w:hint="eastAsia"/>
        </w:rPr>
        <w:t>1、投标文件只允许有一个报价，有选择性的报价将不予接受。投标报价应按招标文件中相关附表格式填报，该投标报价应与明细报价汇总相等，且不允许出现报价优惠等字样，否则作无效标处理；明细出现“0”元，视同赠送，将作无效标处理。</w:t>
      </w:r>
    </w:p>
    <w:p>
      <w:pPr>
        <w:ind w:firstLine="480" w:firstLineChars="200"/>
      </w:pPr>
      <w:r>
        <w:t>2</w:t>
      </w:r>
      <w:r>
        <w:rPr>
          <w:rFonts w:hint="eastAsia"/>
        </w:rPr>
        <w:t>、</w:t>
      </w:r>
      <w:r>
        <w:t>投标报价应包括</w:t>
      </w:r>
      <w:r>
        <w:rPr>
          <w:rFonts w:hint="eastAsia" w:cs="宋体"/>
        </w:rPr>
        <w:t>共用设备管理与维修养护（含供电系统、给排水系统、绿化服务、电梯维护、消防设备维护、空调维护等）、安全保卫、公共区域环境卫生管理等及采购单位交办的其他工作，本项目的投标报价包含日常水电维修费用、设备维护费、安全保卫费、卫生管理费、绿化养护费、人员工资、税费等用以及</w:t>
      </w:r>
      <w:r>
        <w:t>针对本项目物业管理所产生的</w:t>
      </w:r>
      <w:r>
        <w:rPr>
          <w:rFonts w:hint="eastAsia"/>
        </w:rPr>
        <w:t>所有</w:t>
      </w:r>
      <w:r>
        <w:t>费用及合同包含的所有风险、责任等各项全部费用。</w:t>
      </w:r>
    </w:p>
    <w:p>
      <w:pPr>
        <w:ind w:firstLine="480" w:firstLineChars="200"/>
      </w:pPr>
      <w:r>
        <w:t>3</w:t>
      </w:r>
      <w:r>
        <w:rPr>
          <w:rFonts w:hint="eastAsia"/>
        </w:rPr>
        <w:t>、</w:t>
      </w:r>
      <w:r>
        <w:t>投标报价总价金额到元为止，如投标报价总价出现角、分，将被抹除。</w:t>
      </w:r>
    </w:p>
    <w:p>
      <w:pPr>
        <w:ind w:firstLine="482" w:firstLineChars="200"/>
        <w:rPr>
          <w:b/>
        </w:rPr>
      </w:pPr>
      <w:r>
        <w:rPr>
          <w:rFonts w:hint="eastAsia"/>
          <w:b/>
        </w:rPr>
        <w:t>（七）投标保证金</w:t>
      </w:r>
    </w:p>
    <w:p>
      <w:pPr>
        <w:ind w:firstLine="480" w:firstLineChars="200"/>
      </w:pPr>
      <w:r>
        <w:rPr>
          <w:rFonts w:hint="eastAsia"/>
        </w:rPr>
        <w:t>本项目无需交纳保证金。</w:t>
      </w:r>
    </w:p>
    <w:p>
      <w:pPr>
        <w:ind w:firstLine="482" w:firstLineChars="200"/>
        <w:rPr>
          <w:b/>
        </w:rPr>
      </w:pPr>
      <w:r>
        <w:rPr>
          <w:rFonts w:hint="eastAsia"/>
          <w:b/>
        </w:rPr>
        <w:t>（八）串通投标认定</w:t>
      </w:r>
    </w:p>
    <w:p>
      <w:pPr>
        <w:ind w:firstLine="480" w:firstLineChars="200"/>
      </w:pPr>
      <w:r>
        <w:rPr>
          <w:rFonts w:hint="eastAsia"/>
        </w:rPr>
        <w:t>有下列情形之一的，视为投标人串通投标，其投标无效：</w:t>
      </w:r>
    </w:p>
    <w:p>
      <w:pPr>
        <w:ind w:firstLine="480" w:firstLineChars="200"/>
      </w:pPr>
      <w:r>
        <w:rPr>
          <w:rFonts w:hint="eastAsia"/>
        </w:rPr>
        <w:t>1.不同投标人的投标文件由同一单位或者个人编制；</w:t>
      </w:r>
    </w:p>
    <w:p>
      <w:pPr>
        <w:ind w:firstLine="480" w:firstLineChars="200"/>
      </w:pPr>
      <w:r>
        <w:rPr>
          <w:rFonts w:hint="eastAsia"/>
        </w:rPr>
        <w:t>2.不同投标人委托同一单位或者个人办理投标事宜；</w:t>
      </w:r>
    </w:p>
    <w:p>
      <w:pPr>
        <w:ind w:firstLine="480" w:firstLineChars="200"/>
      </w:pPr>
      <w:r>
        <w:rPr>
          <w:rFonts w:hint="eastAsia"/>
        </w:rPr>
        <w:t>3.不同投标人的投标文件载明的项目管理成员或者联系人员为同一人；</w:t>
      </w:r>
    </w:p>
    <w:p>
      <w:pPr>
        <w:ind w:firstLine="480" w:firstLineChars="200"/>
      </w:pPr>
      <w:r>
        <w:rPr>
          <w:rFonts w:hint="eastAsia"/>
        </w:rPr>
        <w:t>4.不同投标人的投标文件异常一致或者投标报价呈规律性差异；</w:t>
      </w:r>
    </w:p>
    <w:p>
      <w:pPr>
        <w:ind w:firstLine="480" w:firstLineChars="200"/>
      </w:pPr>
      <w:r>
        <w:rPr>
          <w:rFonts w:hint="eastAsia"/>
        </w:rPr>
        <w:t>5.不同投标人的投标文件相互混装。</w:t>
      </w:r>
    </w:p>
    <w:p>
      <w:pPr>
        <w:ind w:firstLine="482" w:firstLineChars="200"/>
        <w:rPr>
          <w:b/>
        </w:rPr>
      </w:pPr>
      <w:r>
        <w:rPr>
          <w:rFonts w:hint="eastAsia"/>
          <w:b/>
        </w:rPr>
        <w:t>（九）投标无效的情形</w:t>
      </w:r>
    </w:p>
    <w:p>
      <w:pPr>
        <w:ind w:firstLine="480" w:firstLineChars="200"/>
      </w:pPr>
      <w:r>
        <w:rPr>
          <w:rFonts w:hint="eastAsia"/>
        </w:rPr>
        <w:t>在评审时，如发现下列情形之一的，投标文件将被视为无效：</w:t>
      </w:r>
    </w:p>
    <w:p>
      <w:pPr>
        <w:ind w:firstLine="480" w:firstLineChars="200"/>
      </w:pPr>
      <w:r>
        <w:rPr>
          <w:rFonts w:hint="eastAsia"/>
        </w:rPr>
        <w:t>1、投标方未能提供合格的资质文件、投标有效期不足的；</w:t>
      </w:r>
    </w:p>
    <w:p>
      <w:pPr>
        <w:ind w:firstLine="480" w:firstLineChars="200"/>
      </w:pPr>
      <w:r>
        <w:rPr>
          <w:rFonts w:hint="eastAsia"/>
        </w:rPr>
        <w:t>2、电子投标文件解密失败的，且未在规定时间内提交备份投标文件的；</w:t>
      </w:r>
    </w:p>
    <w:p>
      <w:pPr>
        <w:ind w:firstLine="480" w:firstLineChars="200"/>
      </w:pPr>
      <w:r>
        <w:rPr>
          <w:rFonts w:hint="eastAsia"/>
        </w:rPr>
        <w:t>3、提供的以介质存储的数据电文形式的备份投标文件出现份数不符合招标文件要求、无法读取、上传内容不全等造成无法正常评审情形的；</w:t>
      </w:r>
    </w:p>
    <w:p>
      <w:pPr>
        <w:ind w:firstLine="480" w:firstLineChars="200"/>
      </w:pPr>
      <w:r>
        <w:rPr>
          <w:rFonts w:hint="eastAsia"/>
        </w:rPr>
        <w:t>4、投标人被列入失信被执行人、重大税收违法案件当事人名单、政府采购严重违法失信行为记录名单等信用审查未通过的；</w:t>
      </w:r>
    </w:p>
    <w:p>
      <w:pPr>
        <w:ind w:firstLine="480" w:firstLineChars="200"/>
      </w:pPr>
      <w:r>
        <w:rPr>
          <w:rFonts w:hint="eastAsia"/>
        </w:rPr>
        <w:t>5、投标文件未按招标文件要求签署、盖章的；</w:t>
      </w:r>
    </w:p>
    <w:p>
      <w:pPr>
        <w:ind w:firstLine="480" w:firstLineChars="200"/>
      </w:pPr>
      <w:r>
        <w:rPr>
          <w:rFonts w:hint="eastAsia"/>
        </w:rPr>
        <w:t>6、与招标文件有重大偏离、未满足带“●”号实质性指标的投标文件；</w:t>
      </w:r>
    </w:p>
    <w:p>
      <w:pPr>
        <w:ind w:firstLine="480" w:firstLineChars="200"/>
      </w:pPr>
      <w:r>
        <w:rPr>
          <w:rFonts w:hint="eastAsia"/>
        </w:rPr>
        <w:t>7、资质文件、技术及商务文件中出现投标价格信息的、投标报价超出招标文件中规定的预算金额或最高限价的、含多个标项的项目，分项报价超过标项预算金额或最高限价的；</w:t>
      </w:r>
    </w:p>
    <w:p>
      <w:pPr>
        <w:ind w:firstLine="480" w:firstLineChars="200"/>
      </w:pPr>
      <w:r>
        <w:rPr>
          <w:rFonts w:hint="eastAsia"/>
        </w:rPr>
        <w:t>8、以赠送方式投标的、对同一个合同项提供多个投标方案或多个报价的；</w:t>
      </w:r>
    </w:p>
    <w:p>
      <w:pPr>
        <w:ind w:firstLine="480" w:firstLineChars="200"/>
      </w:pPr>
      <w:r>
        <w:rPr>
          <w:rFonts w:hint="eastAsia"/>
        </w:rPr>
        <w:t>9、评标委员会认为投标人的报价明显低于其他通过符合性审查投标人的报价，有可能影响产品质量或者不能诚信履约，且不能证明其报价合理性的；</w:t>
      </w:r>
    </w:p>
    <w:p>
      <w:pPr>
        <w:ind w:firstLine="480" w:firstLineChars="200"/>
      </w:pPr>
      <w:r>
        <w:rPr>
          <w:rFonts w:hint="eastAsia"/>
        </w:rPr>
        <w:t>10、投标人不接受报价文件中修正后的报价的；</w:t>
      </w:r>
    </w:p>
    <w:p>
      <w:pPr>
        <w:ind w:firstLine="480" w:firstLineChars="200"/>
      </w:pPr>
      <w:r>
        <w:rPr>
          <w:rFonts w:hint="eastAsia"/>
        </w:rPr>
        <w:t>11、未按本章“二、投标文件的编制”第（六）点投标报价要求报价的；</w:t>
      </w:r>
    </w:p>
    <w:p>
      <w:pPr>
        <w:ind w:firstLine="480" w:firstLineChars="200"/>
      </w:pPr>
      <w:r>
        <w:rPr>
          <w:rFonts w:hint="eastAsia"/>
        </w:rPr>
        <w:t>12、投标文件含有采购人不能接受的附加条件的；</w:t>
      </w:r>
    </w:p>
    <w:p>
      <w:pPr>
        <w:ind w:firstLine="480" w:firstLineChars="200"/>
      </w:pPr>
      <w:r>
        <w:rPr>
          <w:rFonts w:hint="eastAsia"/>
        </w:rPr>
        <w:t>13、投标人被视为串通投标的；</w:t>
      </w:r>
    </w:p>
    <w:p>
      <w:pPr>
        <w:ind w:firstLine="480" w:firstLineChars="200"/>
      </w:pPr>
      <w:r>
        <w:rPr>
          <w:rFonts w:hint="eastAsia"/>
        </w:rPr>
        <w:t>14、提供虚假证明材料；</w:t>
      </w:r>
    </w:p>
    <w:p>
      <w:pPr>
        <w:ind w:firstLine="480" w:firstLineChars="200"/>
      </w:pPr>
      <w:r>
        <w:rPr>
          <w:rFonts w:hint="eastAsia"/>
        </w:rPr>
        <w:t>15、不符合法律、法规和本招标文件规定的其他实质性要求的。</w:t>
      </w:r>
    </w:p>
    <w:p>
      <w:pPr>
        <w:ind w:firstLine="482" w:firstLineChars="200"/>
        <w:rPr>
          <w:b/>
        </w:rPr>
      </w:pPr>
      <w:r>
        <w:rPr>
          <w:rFonts w:hint="eastAsia"/>
          <w:b/>
        </w:rPr>
        <w:t>（十）错误修正</w:t>
      </w:r>
    </w:p>
    <w:p>
      <w:pPr>
        <w:ind w:firstLine="480" w:firstLineChars="200"/>
      </w:pPr>
      <w:r>
        <w:rPr>
          <w:rFonts w:hint="eastAsia"/>
        </w:rPr>
        <w:t>投标文件报价出现前后不一致的，除招标文件另有规定外，按照下列规定修正：</w:t>
      </w:r>
    </w:p>
    <w:p>
      <w:pPr>
        <w:ind w:firstLine="480" w:firstLineChars="200"/>
      </w:pPr>
      <w:r>
        <w:rPr>
          <w:rFonts w:hint="eastAsia"/>
        </w:rPr>
        <w:t xml:space="preserve"> 1、投标文件中开标一览表（报价表）内容与投标文件中相应内容不一致的，以开标一览表（报价表）为准；</w:t>
      </w:r>
    </w:p>
    <w:p>
      <w:pPr>
        <w:ind w:firstLine="480" w:firstLineChars="200"/>
      </w:pPr>
      <w:r>
        <w:rPr>
          <w:rFonts w:hint="eastAsia"/>
        </w:rPr>
        <w:t xml:space="preserve"> 2、大写金额和小写金额不一致的，以大写金额为准；</w:t>
      </w:r>
    </w:p>
    <w:p>
      <w:pPr>
        <w:ind w:firstLine="480" w:firstLineChars="200"/>
      </w:pPr>
      <w:r>
        <w:rPr>
          <w:rFonts w:hint="eastAsia"/>
        </w:rPr>
        <w:t xml:space="preserve"> 3、单价金额小数点或者百分比有明显错位的，以开标一览表的总价为准，并修改单价；</w:t>
      </w:r>
    </w:p>
    <w:p>
      <w:pPr>
        <w:ind w:firstLine="480" w:firstLineChars="200"/>
      </w:pPr>
      <w:r>
        <w:rPr>
          <w:rFonts w:hint="eastAsia"/>
        </w:rPr>
        <w:t xml:space="preserve"> 4、总价金额与按单价汇总金额不一致的，以单价金额计算结果为准。</w:t>
      </w:r>
    </w:p>
    <w:p>
      <w:pPr>
        <w:ind w:firstLine="480" w:firstLineChars="200"/>
      </w:pPr>
      <w:r>
        <w:rPr>
          <w:rFonts w:hint="eastAsia"/>
        </w:rPr>
        <w:t>同时出现两种以上不一致的，按照前款规定的顺序修正。修正后的报价按照经投标人加盖公章，或者由法定代表人或其授权的代表签字确认后产生约束力，投标人不确认的，其投标无效。</w:t>
      </w:r>
    </w:p>
    <w:p>
      <w:pPr>
        <w:pStyle w:val="17"/>
      </w:pPr>
      <w:bookmarkStart w:id="22" w:name="_Toc63585688"/>
      <w:bookmarkStart w:id="23" w:name="_Toc66264901"/>
      <w:r>
        <w:t>三、组织开、评标程序及评标委员会的评审程序</w:t>
      </w:r>
      <w:bookmarkEnd w:id="22"/>
      <w:bookmarkEnd w:id="23"/>
    </w:p>
    <w:p>
      <w:pPr>
        <w:pStyle w:val="7"/>
        <w:spacing w:after="0"/>
        <w:ind w:left="480"/>
        <w:jc w:val="left"/>
        <w:rPr>
          <w:b/>
          <w:bCs/>
        </w:rPr>
      </w:pPr>
      <w:r>
        <w:rPr>
          <w:b/>
          <w:bCs/>
        </w:rPr>
        <w:t>（一）组织开标程序</w:t>
      </w:r>
    </w:p>
    <w:p>
      <w:pPr>
        <w:pStyle w:val="9"/>
        <w:ind w:firstLine="470" w:firstLineChars="196"/>
        <w:rPr>
          <w:rFonts w:ascii="Times New Roman" w:hAnsi="Times New Roman"/>
          <w:bCs/>
          <w:szCs w:val="24"/>
        </w:rPr>
      </w:pPr>
      <w:r>
        <w:rPr>
          <w:rFonts w:ascii="Times New Roman" w:hAnsi="Times New Roman"/>
          <w:bCs/>
          <w:szCs w:val="24"/>
        </w:rPr>
        <w:t>1</w:t>
      </w:r>
      <w:r>
        <w:rPr>
          <w:rFonts w:hint="eastAsia" w:ascii="Times New Roman" w:hAnsi="Times New Roman"/>
          <w:bCs/>
          <w:szCs w:val="24"/>
        </w:rPr>
        <w:t>、</w:t>
      </w:r>
      <w:r>
        <w:rPr>
          <w:rFonts w:ascii="Times New Roman" w:hAnsi="Times New Roman"/>
          <w:bCs/>
          <w:szCs w:val="24"/>
        </w:rPr>
        <w:t>招标方将按照招标文件规定的时间、地点和程序组织开标，各投标人授权代表应携带授权委托书及身份证明参加开标会并接受核验、签到，无关人员不得进入开标现场。投标人如不派授权代表参加开标会的，事后不得对采购相关人员、开标过程和开标结果提出异议。</w:t>
      </w:r>
    </w:p>
    <w:p>
      <w:pPr>
        <w:pStyle w:val="9"/>
        <w:ind w:firstLine="551"/>
        <w:rPr>
          <w:rFonts w:ascii="Times New Roman" w:hAnsi="Times New Roman"/>
          <w:b/>
          <w:bCs/>
          <w:szCs w:val="24"/>
        </w:rPr>
      </w:pPr>
      <w:r>
        <w:rPr>
          <w:rFonts w:ascii="Times New Roman" w:hAnsi="Times New Roman"/>
          <w:b/>
          <w:bCs/>
          <w:szCs w:val="24"/>
        </w:rPr>
        <w:t>2</w:t>
      </w:r>
      <w:r>
        <w:rPr>
          <w:rFonts w:hint="eastAsia" w:ascii="Times New Roman" w:hAnsi="Times New Roman"/>
          <w:b/>
          <w:bCs/>
          <w:szCs w:val="24"/>
        </w:rPr>
        <w:t>、</w:t>
      </w:r>
      <w:r>
        <w:rPr>
          <w:rFonts w:ascii="Times New Roman" w:hAnsi="Times New Roman"/>
          <w:b/>
          <w:bCs/>
          <w:szCs w:val="24"/>
        </w:rPr>
        <w:t>电子招投标开标及评审程序</w:t>
      </w:r>
    </w:p>
    <w:p>
      <w:pPr>
        <w:pStyle w:val="9"/>
        <w:snapToGrid w:val="0"/>
        <w:ind w:firstLine="472" w:firstLineChars="196"/>
        <w:rPr>
          <w:rFonts w:ascii="Times New Roman" w:hAnsi="Times New Roman"/>
          <w:b/>
          <w:bCs/>
          <w:szCs w:val="24"/>
        </w:rPr>
      </w:pPr>
      <w:r>
        <w:rPr>
          <w:rFonts w:ascii="Times New Roman" w:hAnsi="Times New Roman"/>
          <w:b/>
          <w:bCs/>
          <w:szCs w:val="24"/>
        </w:rPr>
        <w:t>2.1投标截止时间后，投标人登录政采云平台，用“项目采购-开标评标”功能对电子投标文件进行在线解密。在线解密电子投标文件时间为开标时间起</w:t>
      </w:r>
      <w:r>
        <w:rPr>
          <w:rFonts w:hint="eastAsia" w:ascii="Times New Roman" w:hAnsi="Times New Roman"/>
          <w:b/>
          <w:bCs/>
          <w:szCs w:val="24"/>
        </w:rPr>
        <w:t>30</w:t>
      </w:r>
      <w:r>
        <w:rPr>
          <w:rFonts w:ascii="Times New Roman" w:hAnsi="Times New Roman"/>
          <w:b/>
          <w:bCs/>
          <w:szCs w:val="24"/>
        </w:rPr>
        <w:t>分钟内。</w:t>
      </w:r>
    </w:p>
    <w:p>
      <w:pPr>
        <w:pStyle w:val="9"/>
        <w:snapToGrid w:val="0"/>
        <w:ind w:firstLine="472" w:firstLineChars="196"/>
        <w:rPr>
          <w:rFonts w:ascii="Times New Roman" w:hAnsi="Times New Roman"/>
          <w:b/>
          <w:bCs/>
          <w:szCs w:val="24"/>
        </w:rPr>
      </w:pPr>
      <w:r>
        <w:rPr>
          <w:rFonts w:ascii="Times New Roman" w:hAnsi="Times New Roman"/>
          <w:b/>
          <w:bCs/>
          <w:szCs w:val="24"/>
        </w:rPr>
        <w:t>2.2采购代理机构对信用及资格进行审核；评标委员会对资质、技术及商务响应文件进行评审；</w:t>
      </w:r>
    </w:p>
    <w:p>
      <w:pPr>
        <w:pStyle w:val="9"/>
        <w:snapToGrid w:val="0"/>
        <w:ind w:firstLine="472" w:firstLineChars="196"/>
        <w:rPr>
          <w:rFonts w:ascii="Times New Roman" w:hAnsi="Times New Roman"/>
          <w:b/>
          <w:bCs/>
          <w:szCs w:val="24"/>
        </w:rPr>
      </w:pPr>
      <w:r>
        <w:rPr>
          <w:rFonts w:ascii="Times New Roman" w:hAnsi="Times New Roman"/>
          <w:b/>
          <w:bCs/>
          <w:szCs w:val="24"/>
        </w:rPr>
        <w:t>2.3在系统上公开资格和商务技术评审结果；</w:t>
      </w:r>
    </w:p>
    <w:p>
      <w:pPr>
        <w:pStyle w:val="9"/>
        <w:snapToGrid w:val="0"/>
        <w:ind w:firstLine="472" w:firstLineChars="196"/>
        <w:rPr>
          <w:rFonts w:ascii="Times New Roman" w:hAnsi="Times New Roman"/>
          <w:b/>
          <w:bCs/>
          <w:szCs w:val="24"/>
        </w:rPr>
      </w:pPr>
      <w:r>
        <w:rPr>
          <w:rFonts w:ascii="Times New Roman" w:hAnsi="Times New Roman"/>
          <w:b/>
          <w:bCs/>
          <w:szCs w:val="24"/>
        </w:rPr>
        <w:t>2.4在系统上公开报价开标情况；</w:t>
      </w:r>
    </w:p>
    <w:p>
      <w:pPr>
        <w:pStyle w:val="9"/>
        <w:snapToGrid w:val="0"/>
        <w:ind w:firstLine="472" w:firstLineChars="196"/>
        <w:rPr>
          <w:rFonts w:ascii="Times New Roman" w:hAnsi="Times New Roman"/>
          <w:b/>
          <w:bCs/>
          <w:szCs w:val="24"/>
        </w:rPr>
      </w:pPr>
      <w:r>
        <w:rPr>
          <w:rFonts w:ascii="Times New Roman" w:hAnsi="Times New Roman"/>
          <w:b/>
          <w:bCs/>
          <w:szCs w:val="24"/>
        </w:rPr>
        <w:t>2.5评标委员会对报价情况进行评审；</w:t>
      </w:r>
    </w:p>
    <w:p>
      <w:pPr>
        <w:pStyle w:val="9"/>
        <w:snapToGrid w:val="0"/>
        <w:ind w:firstLine="472" w:firstLineChars="196"/>
        <w:rPr>
          <w:rFonts w:ascii="Times New Roman" w:hAnsi="Times New Roman"/>
          <w:b/>
          <w:bCs/>
          <w:szCs w:val="24"/>
        </w:rPr>
      </w:pPr>
      <w:r>
        <w:rPr>
          <w:rFonts w:ascii="Times New Roman" w:hAnsi="Times New Roman"/>
          <w:b/>
          <w:bCs/>
          <w:szCs w:val="24"/>
        </w:rPr>
        <w:t>2.6在系统上公布评审结果。</w:t>
      </w:r>
    </w:p>
    <w:p>
      <w:pPr>
        <w:pStyle w:val="9"/>
        <w:snapToGrid w:val="0"/>
        <w:ind w:firstLine="472" w:firstLineChars="196"/>
        <w:rPr>
          <w:rFonts w:ascii="Times New Roman" w:hAnsi="Times New Roman"/>
          <w:b/>
          <w:bCs/>
          <w:szCs w:val="24"/>
        </w:rPr>
      </w:pPr>
      <w:r>
        <w:rPr>
          <w:rFonts w:ascii="Times New Roman" w:hAnsi="Times New Roman"/>
          <w:b/>
          <w:bCs/>
          <w:szCs w:val="24"/>
        </w:rPr>
        <w:t>特别说明：政采云公司如对电子化开标及评审程序有调整的，按调整后的程序操作。</w:t>
      </w:r>
    </w:p>
    <w:p>
      <w:pPr>
        <w:ind w:firstLine="482" w:firstLineChars="200"/>
        <w:rPr>
          <w:b/>
          <w:bCs/>
        </w:rPr>
      </w:pPr>
      <w:r>
        <w:rPr>
          <w:b/>
          <w:bCs/>
        </w:rPr>
        <w:t>3</w:t>
      </w:r>
      <w:r>
        <w:rPr>
          <w:rFonts w:hint="eastAsia"/>
          <w:b/>
          <w:bCs/>
        </w:rPr>
        <w:t>、</w:t>
      </w:r>
      <w:r>
        <w:rPr>
          <w:b/>
          <w:bCs/>
        </w:rPr>
        <w:t>本项目原则上采用政采云电子招投标开标及评审程序，但有下情形之一的，按以下情况处理：</w:t>
      </w:r>
    </w:p>
    <w:p>
      <w:pPr>
        <w:pStyle w:val="9"/>
        <w:adjustRightInd w:val="0"/>
        <w:snapToGrid w:val="0"/>
        <w:ind w:firstLine="484" w:firstLineChars="201"/>
        <w:rPr>
          <w:rFonts w:ascii="Times New Roman" w:hAnsi="Times New Roman"/>
          <w:b/>
          <w:kern w:val="0"/>
          <w:szCs w:val="24"/>
        </w:rPr>
      </w:pPr>
      <w:r>
        <w:rPr>
          <w:rFonts w:ascii="Times New Roman" w:hAnsi="Times New Roman"/>
          <w:b/>
          <w:szCs w:val="24"/>
        </w:rPr>
        <w:t>3.1</w:t>
      </w:r>
      <w:r>
        <w:rPr>
          <w:rFonts w:ascii="Times New Roman" w:hAnsi="Times New Roman"/>
          <w:b/>
          <w:bCs/>
          <w:szCs w:val="24"/>
        </w:rPr>
        <w:t>若投标人在规定时间内无法解密或解密失败，交易</w:t>
      </w:r>
      <w:r>
        <w:rPr>
          <w:rFonts w:ascii="Times New Roman" w:hAnsi="Times New Roman"/>
          <w:b/>
          <w:szCs w:val="24"/>
        </w:rPr>
        <w:t>中心将开启投标人递交的</w:t>
      </w:r>
      <w:r>
        <w:rPr>
          <w:rFonts w:ascii="Times New Roman" w:hAnsi="Times New Roman"/>
          <w:b/>
          <w:kern w:val="0"/>
          <w:szCs w:val="24"/>
        </w:rPr>
        <w:t>以介质存储的数据电文形式的备份投标文件，上传至政采云平台项目采购模块，以完成开标，电子投标文件自动失效。</w:t>
      </w:r>
    </w:p>
    <w:p>
      <w:pPr>
        <w:pStyle w:val="9"/>
        <w:adjustRightInd w:val="0"/>
        <w:snapToGrid w:val="0"/>
        <w:ind w:firstLine="484" w:firstLineChars="201"/>
        <w:rPr>
          <w:rFonts w:ascii="Times New Roman" w:hAnsi="Times New Roman"/>
          <w:b/>
          <w:kern w:val="0"/>
          <w:szCs w:val="24"/>
        </w:rPr>
      </w:pPr>
      <w:r>
        <w:rPr>
          <w:rFonts w:ascii="Times New Roman" w:hAnsi="Times New Roman"/>
          <w:b/>
          <w:kern w:val="0"/>
          <w:szCs w:val="24"/>
        </w:rPr>
        <w:t>3.2若投标人未提供以介质存储的数据电文形式的备份投标文件，其投标视作无效。</w:t>
      </w:r>
    </w:p>
    <w:p>
      <w:pPr>
        <w:snapToGrid w:val="0"/>
        <w:ind w:firstLine="318" w:firstLineChars="132"/>
        <w:jc w:val="left"/>
        <w:rPr>
          <w:b/>
        </w:rPr>
      </w:pPr>
      <w:r>
        <w:rPr>
          <w:b/>
        </w:rPr>
        <w:t>（二）组织评标程序</w:t>
      </w:r>
    </w:p>
    <w:p>
      <w:pPr>
        <w:snapToGrid w:val="0"/>
        <w:ind w:firstLine="316" w:firstLineChars="132"/>
        <w:jc w:val="left"/>
      </w:pPr>
      <w:r>
        <w:t>招标方将按照招标文件规定的时间、地点和程序组织评标，各评审专家及相关人员应参加评审活动并接受核验、签到，无关人员不得进入评审现场。</w:t>
      </w:r>
    </w:p>
    <w:p>
      <w:pPr>
        <w:snapToGrid w:val="0"/>
        <w:ind w:firstLine="556" w:firstLineChars="232"/>
        <w:jc w:val="left"/>
      </w:pPr>
      <w:r>
        <w:t>1</w:t>
      </w:r>
      <w:r>
        <w:rPr>
          <w:rFonts w:hint="eastAsia"/>
        </w:rPr>
        <w:t>、</w:t>
      </w:r>
      <w:r>
        <w:t>按规定统一收缴、保存评标现场相关人员通讯工具。</w:t>
      </w:r>
    </w:p>
    <w:p>
      <w:pPr>
        <w:snapToGrid w:val="0"/>
        <w:ind w:firstLine="556" w:firstLineChars="232"/>
        <w:jc w:val="left"/>
      </w:pPr>
      <w:r>
        <w:t>2</w:t>
      </w:r>
      <w:r>
        <w:rPr>
          <w:rFonts w:hint="eastAsia"/>
        </w:rPr>
        <w:t>、</w:t>
      </w:r>
      <w:r>
        <w:t>介绍评审现场的人员情况，宣布评审工作纪律，告知评审人员应当回避情形；组织推选评标委员会组长。</w:t>
      </w:r>
    </w:p>
    <w:p>
      <w:pPr>
        <w:snapToGrid w:val="0"/>
        <w:ind w:firstLine="556" w:firstLineChars="232"/>
        <w:jc w:val="left"/>
      </w:pPr>
      <w:r>
        <w:t>3</w:t>
      </w:r>
      <w:r>
        <w:rPr>
          <w:rFonts w:hint="eastAsia"/>
        </w:rPr>
        <w:t>、</w:t>
      </w:r>
      <w:r>
        <w:t>宣读提交投标文件的供应商名单，组织评标委员会各位成员签订《政府采购评审人员廉洁自律承诺书》。</w:t>
      </w:r>
    </w:p>
    <w:p>
      <w:pPr>
        <w:snapToGrid w:val="0"/>
        <w:ind w:firstLine="556" w:firstLineChars="232"/>
        <w:jc w:val="left"/>
      </w:pPr>
      <w:r>
        <w:t>4</w:t>
      </w:r>
      <w:r>
        <w:rPr>
          <w:rFonts w:hint="eastAsia"/>
        </w:rPr>
        <w:t>、</w:t>
      </w:r>
      <w:r>
        <w:t>采购人可以在评标前说明项目背景和采购需求，说明内容不得含有歧视性、倾向性意见，不得超出招标文件所述范围。说明应当提交书面材料，并随采购文件一并存档。</w:t>
      </w:r>
    </w:p>
    <w:p>
      <w:pPr>
        <w:snapToGrid w:val="0"/>
        <w:ind w:firstLine="556" w:firstLineChars="232"/>
        <w:jc w:val="left"/>
      </w:pPr>
      <w:r>
        <w:t>5</w:t>
      </w:r>
      <w:r>
        <w:rPr>
          <w:rFonts w:hint="eastAsia"/>
        </w:rPr>
        <w:t>、</w:t>
      </w:r>
      <w:r>
        <w:t>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snapToGrid w:val="0"/>
        <w:ind w:firstLine="556" w:firstLineChars="232"/>
        <w:jc w:val="left"/>
      </w:pPr>
      <w:r>
        <w:t>6</w:t>
      </w:r>
      <w:r>
        <w:rPr>
          <w:rFonts w:hint="eastAsia"/>
        </w:rPr>
        <w:t>、</w:t>
      </w:r>
      <w:r>
        <w:t>采购人或采购代理机构对投标人资格文件进行审查并以开标当日为准对投标人“信用中国”网站（www.creditchina.gov.cn）、中国政府采购网（www.ccgp.gov.cn）信用记录情况进行核实，资格不符合的，应组织相关投标人代表进行陈述、澄清或申辩。</w:t>
      </w:r>
    </w:p>
    <w:p>
      <w:pPr>
        <w:snapToGrid w:val="0"/>
        <w:ind w:firstLine="556" w:firstLineChars="232"/>
        <w:jc w:val="left"/>
      </w:pPr>
      <w:r>
        <w:t>7</w:t>
      </w:r>
      <w:r>
        <w:rPr>
          <w:rFonts w:hint="eastAsia"/>
        </w:rPr>
        <w:t>、</w:t>
      </w:r>
      <w:r>
        <w:t>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snapToGrid w:val="0"/>
        <w:ind w:firstLine="556" w:firstLineChars="232"/>
        <w:jc w:val="left"/>
      </w:pPr>
      <w:r>
        <w:t>8</w:t>
      </w:r>
      <w:r>
        <w:rPr>
          <w:rFonts w:hint="eastAsia"/>
        </w:rPr>
        <w:t>、</w:t>
      </w:r>
      <w:r>
        <w:t>做好评审现场相关记录，协助评标委员会组长做好评审报告起草、有关内容电脑文字录入等工作，并要求评标委员会各成员签字确认。</w:t>
      </w:r>
    </w:p>
    <w:p>
      <w:pPr>
        <w:snapToGrid w:val="0"/>
        <w:ind w:firstLine="556" w:firstLineChars="232"/>
        <w:jc w:val="left"/>
      </w:pPr>
      <w:r>
        <w:t>9</w:t>
      </w:r>
      <w:r>
        <w:rPr>
          <w:rFonts w:hint="eastAsia"/>
        </w:rPr>
        <w:t>、</w:t>
      </w:r>
      <w:r>
        <w:t>评审结束后，招标方应对评标委员会各成员的专业水平、职业道德、遵纪守法等情况进行评价；同时按规定向评审专家发放评审费，并交还评审人员及其他现场相关人员的通讯工具。</w:t>
      </w:r>
    </w:p>
    <w:p>
      <w:pPr>
        <w:snapToGrid w:val="0"/>
        <w:ind w:firstLine="318" w:firstLineChars="132"/>
        <w:jc w:val="left"/>
        <w:rPr>
          <w:b/>
        </w:rPr>
      </w:pPr>
      <w:r>
        <w:rPr>
          <w:b/>
        </w:rPr>
        <w:t>（三）评审程序</w:t>
      </w:r>
    </w:p>
    <w:p>
      <w:pPr>
        <w:snapToGrid w:val="0"/>
        <w:ind w:firstLine="556" w:firstLineChars="232"/>
        <w:jc w:val="left"/>
      </w:pPr>
      <w:r>
        <w:t>1</w:t>
      </w:r>
      <w:r>
        <w:rPr>
          <w:rFonts w:hint="eastAsia"/>
        </w:rPr>
        <w:t>、</w:t>
      </w:r>
      <w:r>
        <w:t>在评审专家中推选评标委员会组长。</w:t>
      </w:r>
    </w:p>
    <w:p>
      <w:pPr>
        <w:snapToGrid w:val="0"/>
        <w:ind w:firstLine="556" w:firstLineChars="232"/>
        <w:jc w:val="left"/>
      </w:pPr>
      <w:r>
        <w:t>2</w:t>
      </w:r>
      <w:r>
        <w:rPr>
          <w:rFonts w:hint="eastAsia"/>
        </w:rPr>
        <w:t>、</w:t>
      </w:r>
      <w:r>
        <w:t>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napToGrid w:val="0"/>
        <w:ind w:firstLine="556" w:firstLineChars="232"/>
        <w:jc w:val="left"/>
      </w:pPr>
      <w:r>
        <w:t>3</w:t>
      </w:r>
      <w:r>
        <w:rPr>
          <w:rFonts w:hint="eastAsia"/>
        </w:rPr>
        <w:t>、</w:t>
      </w:r>
      <w:r>
        <w:t>评审人员对各投标人投标文件的有效性、符合性、完整性和响应程度进行审查，确定是否对招标文件作出实质性响应。</w:t>
      </w:r>
    </w:p>
    <w:p>
      <w:pPr>
        <w:snapToGrid w:val="0"/>
        <w:ind w:firstLine="556" w:firstLineChars="232"/>
        <w:jc w:val="left"/>
      </w:pPr>
      <w:r>
        <w:t>4</w:t>
      </w:r>
      <w:r>
        <w:rPr>
          <w:rFonts w:hint="eastAsia"/>
        </w:rPr>
        <w:t>、</w:t>
      </w:r>
      <w:r>
        <w:t>评审人员按招标文件规定的评审方法和评审标准，依法独立对投标人投标文件进行评估、比较，并给予评价或打分，不受任何单位和个人的干预。</w:t>
      </w:r>
    </w:p>
    <w:p>
      <w:pPr>
        <w:snapToGrid w:val="0"/>
        <w:ind w:firstLine="556" w:firstLineChars="232"/>
        <w:jc w:val="left"/>
      </w:pPr>
      <w:r>
        <w:t>5</w:t>
      </w:r>
      <w:r>
        <w:rPr>
          <w:rFonts w:hint="eastAsia"/>
        </w:rPr>
        <w:t>、</w:t>
      </w:r>
      <w:r>
        <w:t>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并加盖投标人公章。投标人拒绝澄清说明或澄清说明的内容改变了投标文件的实质性内容的，评标委员会有权对该投标文件作出不利于投标人的评判。书面通知及澄清说明文件应作为政府采购项目档案归档留存。</w:t>
      </w:r>
    </w:p>
    <w:p>
      <w:pPr>
        <w:snapToGrid w:val="0"/>
        <w:ind w:firstLine="556" w:firstLineChars="232"/>
      </w:pPr>
      <w:r>
        <w:t>6</w:t>
      </w:r>
      <w:r>
        <w:rPr>
          <w:rFonts w:hint="eastAsia"/>
        </w:rPr>
        <w:t>、</w:t>
      </w:r>
      <w:r>
        <w:t>评审人员需对招标方工作人员唱票或统计的评审结果进行确认，如发现分值汇总计算错误、分项评分超出评分标准范围、客观评分不一致以及存在评分畸高、畸低情形的，应由相关人员当场改正或作出说明；拒不改正又不作说明的，由集采机构如实记载后存入项目档案资料。</w:t>
      </w:r>
    </w:p>
    <w:p>
      <w:pPr>
        <w:snapToGrid w:val="0"/>
        <w:ind w:firstLine="556" w:firstLineChars="232"/>
        <w:jc w:val="left"/>
      </w:pPr>
      <w:r>
        <w:t>7</w:t>
      </w:r>
      <w:r>
        <w:rPr>
          <w:rFonts w:hint="eastAsia"/>
        </w:rPr>
        <w:t>、</w:t>
      </w:r>
      <w:r>
        <w:t xml:space="preserve">评标委员会根据评审汇总情况和招标文件规定确定中标候选供应商排序名单。 </w:t>
      </w:r>
    </w:p>
    <w:p>
      <w:pPr>
        <w:snapToGrid w:val="0"/>
        <w:ind w:firstLine="556" w:firstLineChars="232"/>
        <w:jc w:val="left"/>
      </w:pPr>
      <w:r>
        <w:t>8</w:t>
      </w:r>
      <w:r>
        <w:rPr>
          <w:rFonts w:hint="eastAsia"/>
        </w:rPr>
        <w:t>、</w:t>
      </w:r>
      <w:r>
        <w:t>起草评审报告，所有评审人员须在评审报告上签字确认。</w:t>
      </w:r>
    </w:p>
    <w:p>
      <w:pPr>
        <w:pStyle w:val="17"/>
      </w:pPr>
      <w:bookmarkStart w:id="24" w:name="_Toc63585689"/>
      <w:bookmarkStart w:id="25" w:name="_Toc66264902"/>
      <w:r>
        <w:t>四、评审原则</w:t>
      </w:r>
      <w:bookmarkEnd w:id="24"/>
      <w:bookmarkEnd w:id="25"/>
    </w:p>
    <w:p>
      <w:pPr>
        <w:snapToGrid w:val="0"/>
        <w:ind w:firstLine="556" w:firstLineChars="232"/>
        <w:jc w:val="left"/>
      </w:pPr>
      <w:r>
        <w:t>1</w:t>
      </w:r>
      <w:r>
        <w:rPr>
          <w:rFonts w:hint="eastAsia"/>
        </w:rPr>
        <w:t>、</w:t>
      </w:r>
      <w:r>
        <w:t>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ind w:firstLine="556" w:firstLineChars="232"/>
        <w:jc w:val="left"/>
      </w:pPr>
      <w:r>
        <w:t>2</w:t>
      </w:r>
      <w:r>
        <w:rPr>
          <w:rFonts w:hint="eastAsia"/>
        </w:rPr>
        <w:t>、</w:t>
      </w:r>
      <w:r>
        <w:t>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ind w:firstLine="556" w:firstLineChars="232"/>
        <w:jc w:val="left"/>
      </w:pPr>
      <w:r>
        <w:t>3</w:t>
      </w:r>
      <w:r>
        <w:rPr>
          <w:rFonts w:hint="eastAsia"/>
        </w:rPr>
        <w:t>、</w:t>
      </w:r>
      <w:r>
        <w:t>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17"/>
      </w:pPr>
      <w:bookmarkStart w:id="26" w:name="_Toc63585690"/>
      <w:bookmarkStart w:id="27" w:name="_Toc66264903"/>
      <w:r>
        <w:t>五、确定中标供应商的原则</w:t>
      </w:r>
      <w:bookmarkEnd w:id="26"/>
      <w:bookmarkEnd w:id="27"/>
    </w:p>
    <w:p>
      <w:pPr>
        <w:snapToGrid w:val="0"/>
        <w:ind w:firstLine="316" w:firstLineChars="132"/>
        <w:jc w:val="left"/>
      </w:pPr>
      <w:r>
        <w:t xml:space="preserve"> 1、项目由评标委员会根据第四章《评标办法与评分标准》规定提出中标候选人排序。</w:t>
      </w:r>
    </w:p>
    <w:p>
      <w:pPr>
        <w:snapToGrid w:val="0"/>
        <w:ind w:firstLine="316" w:firstLineChars="132"/>
        <w:jc w:val="left"/>
      </w:pPr>
      <w: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26"/>
        <w:spacing w:before="0" w:line="400" w:lineRule="atLeast"/>
        <w:ind w:firstLine="480"/>
        <w:rPr>
          <w:rFonts w:ascii="Times New Roman" w:hAnsi="Times New Roman"/>
          <w:szCs w:val="24"/>
        </w:rPr>
      </w:pPr>
      <w:r>
        <w:rPr>
          <w:rFonts w:ascii="Times New Roman" w:hAnsi="Times New Roman"/>
          <w:szCs w:val="24"/>
        </w:rPr>
        <w:t xml:space="preserve"> 3、采购结果经采购人确认后，招标方将于2个工作日内在浙江政府采购网（</w:t>
      </w:r>
      <w:r>
        <w:fldChar w:fldCharType="begin"/>
      </w:r>
      <w:r>
        <w:instrText xml:space="preserve"> HYPERLINK "http://www.zjzfcg.gov.cn/" </w:instrText>
      </w:r>
      <w:r>
        <w:fldChar w:fldCharType="separate"/>
      </w:r>
      <w:r>
        <w:rPr>
          <w:rFonts w:ascii="Times New Roman" w:hAnsi="Times New Roman"/>
          <w:szCs w:val="24"/>
        </w:rPr>
        <w:t>http：//zfcg.czt.zj.gov.cn</w:t>
      </w:r>
      <w:r>
        <w:rPr>
          <w:rFonts w:ascii="Times New Roman" w:hAnsi="Times New Roman"/>
          <w:szCs w:val="24"/>
        </w:rPr>
        <w:fldChar w:fldCharType="end"/>
      </w:r>
      <w:r>
        <w:rPr>
          <w:rFonts w:ascii="Times New Roman" w:hAnsi="Times New Roman"/>
          <w:szCs w:val="24"/>
        </w:rPr>
        <w:t>）、杭州余杭政府门户网站（</w:t>
      </w:r>
      <w:r>
        <w:fldChar w:fldCharType="begin"/>
      </w:r>
      <w:r>
        <w:instrText xml:space="preserve"> HYPERLINK "http://www.yuhang.gov.cn/" </w:instrText>
      </w:r>
      <w:r>
        <w:fldChar w:fldCharType="separate"/>
      </w:r>
      <w:r>
        <w:rPr>
          <w:rFonts w:ascii="Times New Roman" w:hAnsi="Times New Roman"/>
          <w:szCs w:val="24"/>
        </w:rPr>
        <w:t>http：//www.yuhang.gov.cn</w:t>
      </w:r>
      <w:r>
        <w:rPr>
          <w:rFonts w:ascii="Times New Roman" w:hAnsi="Times New Roman"/>
          <w:szCs w:val="24"/>
        </w:rPr>
        <w:fldChar w:fldCharType="end"/>
      </w:r>
      <w:r>
        <w:rPr>
          <w:rFonts w:ascii="Times New Roman" w:hAnsi="Times New Roman"/>
          <w:szCs w:val="24"/>
        </w:rPr>
        <w:t>）发布中标公告（对于未中标单位，将不再另行通知，招标采购单位无义务解释未中标原因）并向中标方签发书面《中标通知书》。</w:t>
      </w:r>
    </w:p>
    <w:p>
      <w:pPr>
        <w:pStyle w:val="17"/>
      </w:pPr>
      <w:bookmarkStart w:id="28" w:name="_Toc63585691"/>
      <w:bookmarkStart w:id="29" w:name="_Toc66264904"/>
      <w:r>
        <w:t>六、合同授予</w:t>
      </w:r>
      <w:bookmarkEnd w:id="28"/>
      <w:bookmarkEnd w:id="29"/>
    </w:p>
    <w:p>
      <w:pPr>
        <w:snapToGrid w:val="0"/>
        <w:ind w:firstLine="472" w:firstLineChars="196"/>
        <w:rPr>
          <w:b/>
          <w:bCs/>
        </w:rPr>
      </w:pPr>
      <w:r>
        <w:rPr>
          <w:b/>
          <w:bCs/>
        </w:rPr>
        <w:t>（一）签订合同</w:t>
      </w:r>
    </w:p>
    <w:p>
      <w:pPr>
        <w:snapToGrid w:val="0"/>
        <w:ind w:firstLine="480" w:firstLineChars="200"/>
      </w:pPr>
      <w:r>
        <w:t>1、采购人与中标人应当在《中标通知书》发出之日起30日内签订政府采购合同，招标方作为合同签订的鉴证方。</w:t>
      </w:r>
    </w:p>
    <w:p>
      <w:pPr>
        <w:snapToGrid w:val="0"/>
        <w:ind w:firstLine="480" w:firstLineChars="200"/>
      </w:pPr>
      <w:r>
        <w:t>2、中标人拖延、拒签合同的,将被扣罚投标保证金并取消中标资格。</w:t>
      </w:r>
    </w:p>
    <w:p>
      <w:pPr>
        <w:pStyle w:val="26"/>
        <w:spacing w:before="0" w:line="400" w:lineRule="atLeast"/>
        <w:ind w:firstLine="470" w:firstLineChars="196"/>
        <w:rPr>
          <w:rFonts w:ascii="Times New Roman" w:hAnsi="Times New Roman"/>
          <w:szCs w:val="24"/>
        </w:rPr>
      </w:pPr>
      <w:r>
        <w:rPr>
          <w:rFonts w:ascii="Times New Roman" w:hAnsi="Times New Roman"/>
          <w:szCs w:val="24"/>
        </w:rPr>
        <w:t>3、政府采购合同一式多份，除单次采购金额在三十万元以上的货物类采购项目须提供三份外，其余须提供两份到杭州市公共资源交易中心临平分中心备案。</w:t>
      </w:r>
    </w:p>
    <w:p>
      <w:pPr>
        <w:pStyle w:val="9"/>
        <w:snapToGrid w:val="0"/>
        <w:ind w:firstLine="472" w:firstLineChars="196"/>
        <w:rPr>
          <w:rFonts w:ascii="Times New Roman" w:hAnsi="Times New Roman"/>
          <w:b/>
          <w:szCs w:val="24"/>
        </w:rPr>
      </w:pPr>
      <w:r>
        <w:rPr>
          <w:rFonts w:ascii="Times New Roman" w:hAnsi="Times New Roman"/>
          <w:b/>
          <w:szCs w:val="24"/>
        </w:rPr>
        <w:t>（二）履约保证金</w:t>
      </w:r>
    </w:p>
    <w:p>
      <w:pPr>
        <w:snapToGrid w:val="0"/>
        <w:ind w:firstLine="480" w:firstLineChars="200"/>
        <w:jc w:val="left"/>
      </w:pPr>
      <w:r>
        <w:t>1、合同签订后，采购人要求中标或者成交供应商提交履约保证金的，供应商应当以支票、汇票、本票或者金融机构、担保机构出具的保函等非现金形式提交。履约保证金的数额不得超过政府采购合同金额的5%。</w:t>
      </w:r>
    </w:p>
    <w:p>
      <w:pPr>
        <w:pStyle w:val="9"/>
        <w:snapToGrid w:val="0"/>
        <w:ind w:firstLine="475" w:firstLineChars="198"/>
        <w:rPr>
          <w:rFonts w:ascii="Times New Roman" w:hAnsi="Times New Roman"/>
          <w:szCs w:val="24"/>
        </w:rPr>
      </w:pPr>
      <w:r>
        <w:rPr>
          <w:rFonts w:ascii="Times New Roman" w:hAnsi="Times New Roman"/>
          <w:szCs w:val="24"/>
        </w:rPr>
        <w:t>2、按合同约定办理履约保证金退还手续。</w:t>
      </w:r>
    </w:p>
    <w:p>
      <w:pPr>
        <w:pStyle w:val="17"/>
      </w:pPr>
      <w:bookmarkStart w:id="30" w:name="_Toc63585692"/>
      <w:bookmarkStart w:id="31" w:name="_Toc66264905"/>
      <w:r>
        <w:t>七、验收</w:t>
      </w:r>
      <w:bookmarkEnd w:id="30"/>
      <w:bookmarkEnd w:id="31"/>
    </w:p>
    <w:p>
      <w:pPr>
        <w:adjustRightInd w:val="0"/>
        <w:snapToGrid w:val="0"/>
        <w:ind w:firstLine="480" w:firstLineChars="200"/>
      </w:pPr>
      <w: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pPr>
        <w:snapToGrid w:val="0"/>
        <w:spacing w:line="360" w:lineRule="auto"/>
        <w:rPr>
          <w:b/>
          <w:sz w:val="32"/>
          <w:szCs w:val="32"/>
        </w:rPr>
        <w:sectPr>
          <w:footerReference r:id="rId7" w:type="default"/>
          <w:pgSz w:w="11906" w:h="16838"/>
          <w:pgMar w:top="1559" w:right="1531" w:bottom="471" w:left="1531" w:header="851" w:footer="850" w:gutter="0"/>
          <w:pgNumType w:start="1"/>
          <w:cols w:space="720" w:num="1"/>
          <w:docGrid w:type="lines" w:linePitch="312" w:charSpace="0"/>
        </w:sectPr>
      </w:pPr>
    </w:p>
    <w:p/>
    <w:p>
      <w:pPr>
        <w:pStyle w:val="2"/>
        <w:rPr>
          <w:color w:val="auto"/>
        </w:rPr>
      </w:pPr>
      <w:bookmarkStart w:id="32" w:name="_Toc66264906"/>
      <w:r>
        <w:rPr>
          <w:color w:val="auto"/>
        </w:rPr>
        <w:t>第四章  评标办法及评分标准</w:t>
      </w:r>
      <w:bookmarkEnd w:id="32"/>
    </w:p>
    <w:p>
      <w:pPr>
        <w:snapToGrid w:val="0"/>
        <w:spacing w:line="360" w:lineRule="auto"/>
        <w:ind w:firstLine="148" w:firstLineChars="62"/>
        <w:jc w:val="left"/>
      </w:pPr>
      <w:r>
        <w:t xml:space="preserve">    根据《中华人民共和国政府采购法》等有关法律法规，结合本项目的实际需求，制定本办法。</w:t>
      </w:r>
    </w:p>
    <w:p>
      <w:pPr>
        <w:snapToGrid w:val="0"/>
        <w:spacing w:line="360" w:lineRule="auto"/>
        <w:ind w:firstLine="148" w:firstLineChars="62"/>
        <w:jc w:val="left"/>
        <w:rPr>
          <w:b/>
        </w:rPr>
      </w:pPr>
      <w:r>
        <w:t xml:space="preserve">  </w:t>
      </w:r>
      <w:r>
        <w:rPr>
          <w:b/>
        </w:rPr>
        <w:t>一、总则</w:t>
      </w:r>
    </w:p>
    <w:p>
      <w:pPr>
        <w:tabs>
          <w:tab w:val="left" w:pos="0"/>
        </w:tabs>
        <w:spacing w:line="360" w:lineRule="auto"/>
        <w:ind w:firstLine="540" w:firstLineChars="225"/>
      </w:pPr>
      <w: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pStyle w:val="26"/>
        <w:spacing w:before="0" w:line="440" w:lineRule="exact"/>
        <w:ind w:firstLine="602" w:firstLineChars="250"/>
        <w:rPr>
          <w:rFonts w:ascii="Times New Roman" w:hAnsi="Times New Roman"/>
          <w:b/>
        </w:rPr>
      </w:pPr>
      <w:r>
        <w:rPr>
          <w:rFonts w:ascii="Times New Roman" w:hAnsi="Times New Roman"/>
          <w:b/>
        </w:rPr>
        <w:t>二、价格分（</w:t>
      </w:r>
      <w:r>
        <w:rPr>
          <w:rFonts w:hint="eastAsia" w:ascii="Times New Roman" w:hAnsi="Times New Roman"/>
          <w:b/>
        </w:rPr>
        <w:t>28</w:t>
      </w:r>
      <w:r>
        <w:rPr>
          <w:rFonts w:ascii="Times New Roman" w:hAnsi="Times New Roman"/>
          <w:b/>
        </w:rPr>
        <w:t>分）</w:t>
      </w:r>
    </w:p>
    <w:p>
      <w:pPr>
        <w:pStyle w:val="26"/>
        <w:spacing w:before="0" w:line="440" w:lineRule="exact"/>
        <w:ind w:firstLine="600" w:firstLineChars="250"/>
        <w:rPr>
          <w:rFonts w:ascii="Times New Roman" w:hAnsi="Times New Roman"/>
        </w:rPr>
      </w:pPr>
      <w:r>
        <w:rPr>
          <w:rFonts w:ascii="Times New Roman" w:hAnsi="Times New Roman"/>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pStyle w:val="26"/>
        <w:spacing w:before="0" w:line="440" w:lineRule="exact"/>
        <w:ind w:firstLine="602" w:firstLineChars="250"/>
        <w:rPr>
          <w:rFonts w:ascii="Times New Roman" w:hAnsi="Times New Roman"/>
          <w:b/>
        </w:rPr>
      </w:pPr>
      <w:r>
        <w:rPr>
          <w:rFonts w:ascii="Times New Roman" w:hAnsi="Times New Roman"/>
          <w:b/>
        </w:rPr>
        <w:t>三、技术、商务分（</w:t>
      </w:r>
      <w:r>
        <w:rPr>
          <w:rFonts w:hint="eastAsia" w:ascii="Times New Roman" w:hAnsi="Times New Roman"/>
          <w:b/>
        </w:rPr>
        <w:t>72</w:t>
      </w:r>
      <w:r>
        <w:rPr>
          <w:rFonts w:ascii="Times New Roman" w:hAnsi="Times New Roman"/>
          <w:b/>
        </w:rPr>
        <w:t>分）</w:t>
      </w:r>
    </w:p>
    <w:p>
      <w:pPr>
        <w:pStyle w:val="26"/>
        <w:spacing w:before="0" w:line="440" w:lineRule="exact"/>
        <w:ind w:firstLine="602" w:firstLineChars="250"/>
        <w:rPr>
          <w:rFonts w:ascii="Times New Roman" w:hAnsi="Times New Roman"/>
          <w:b/>
        </w:rPr>
      </w:pPr>
      <w:r>
        <w:rPr>
          <w:rFonts w:ascii="Times New Roman" w:hAnsi="Times New Roman"/>
          <w:b/>
        </w:rPr>
        <w:t>（1）技术、商务分的计算：</w:t>
      </w:r>
    </w:p>
    <w:p>
      <w:pPr>
        <w:pStyle w:val="26"/>
        <w:spacing w:before="0" w:line="440" w:lineRule="exact"/>
        <w:ind w:firstLine="600" w:firstLineChars="250"/>
        <w:rPr>
          <w:rFonts w:ascii="Times New Roman" w:hAnsi="Times New Roman"/>
        </w:rPr>
      </w:pPr>
      <w:r>
        <w:rPr>
          <w:rFonts w:ascii="Times New Roman" w:hAnsi="Times New Roman"/>
        </w:rPr>
        <w:t>技术、商务分按照评标委员会成员的独立评分结果汇总数的算术平均分计算，计算公式为：</w:t>
      </w:r>
    </w:p>
    <w:p>
      <w:pPr>
        <w:pStyle w:val="26"/>
        <w:spacing w:before="0" w:line="440" w:lineRule="exact"/>
        <w:ind w:firstLine="600" w:firstLineChars="250"/>
        <w:rPr>
          <w:rFonts w:ascii="Times New Roman" w:hAnsi="Times New Roman"/>
        </w:rPr>
      </w:pPr>
      <w:r>
        <w:rPr>
          <w:rFonts w:ascii="Times New Roman" w:hAnsi="Times New Roman"/>
        </w:rPr>
        <w:t>技术、商务分=评标委员会所有成员评分合计数/评标委员会组成人员数</w:t>
      </w:r>
    </w:p>
    <w:p>
      <w:pPr>
        <w:pStyle w:val="26"/>
        <w:spacing w:before="0" w:line="440" w:lineRule="exact"/>
        <w:ind w:firstLine="602" w:firstLineChars="250"/>
        <w:rPr>
          <w:rFonts w:ascii="Times New Roman" w:hAnsi="Times New Roman"/>
          <w:b/>
        </w:rPr>
      </w:pPr>
      <w:r>
        <w:rPr>
          <w:rFonts w:ascii="Times New Roman" w:hAnsi="Times New Roman"/>
          <w:b/>
        </w:rPr>
        <w:t>（2）评分细则如下：</w:t>
      </w:r>
    </w:p>
    <w:p>
      <w:pPr>
        <w:pStyle w:val="26"/>
        <w:spacing w:before="0" w:line="440" w:lineRule="exact"/>
        <w:ind w:firstLine="602" w:firstLineChars="250"/>
        <w:rPr>
          <w:b/>
        </w:rPr>
      </w:pPr>
      <w:r>
        <w:rPr>
          <w:b/>
        </w:rPr>
        <w:t>技术分</w:t>
      </w:r>
      <w:r>
        <w:rPr>
          <w:rFonts w:ascii="Times New Roman" w:hAnsi="Times New Roman" w:eastAsiaTheme="minorEastAsia"/>
          <w:b/>
        </w:rPr>
        <w:t>（62分）</w:t>
      </w:r>
      <w:r>
        <w:rPr>
          <w:b/>
        </w:rPr>
        <w:t>：</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652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rPr>
                <w:b/>
              </w:rPr>
            </w:pPr>
            <w:bookmarkStart w:id="33" w:name="scoringRules2"/>
            <w:r>
              <w:rPr>
                <w:rFonts w:hint="eastAsia"/>
                <w:b/>
              </w:rPr>
              <w:t>评分细则</w:t>
            </w:r>
          </w:p>
        </w:tc>
        <w:tc>
          <w:tcPr>
            <w:tcW w:w="6520" w:type="dxa"/>
            <w:tcBorders>
              <w:top w:val="single" w:color="000000" w:sz="4" w:space="0"/>
              <w:left w:val="single" w:color="000000" w:sz="4" w:space="0"/>
              <w:bottom w:val="single" w:color="000000" w:sz="4" w:space="0"/>
              <w:right w:val="single" w:color="000000" w:sz="4" w:space="0"/>
            </w:tcBorders>
            <w:vAlign w:val="center"/>
          </w:tcPr>
          <w:p>
            <w:pPr>
              <w:ind w:firstLine="1807" w:firstLineChars="750"/>
              <w:rPr>
                <w:b/>
              </w:rPr>
            </w:pPr>
            <w:r>
              <w:rPr>
                <w:rFonts w:hint="eastAsia"/>
                <w:b/>
              </w:rPr>
              <w:t>评分标准</w:t>
            </w:r>
          </w:p>
        </w:tc>
        <w:tc>
          <w:tcPr>
            <w:tcW w:w="851" w:type="dxa"/>
            <w:tcBorders>
              <w:top w:val="single" w:color="000000" w:sz="4" w:space="0"/>
              <w:left w:val="single" w:color="000000" w:sz="4" w:space="0"/>
              <w:bottom w:val="single" w:color="000000" w:sz="4" w:space="0"/>
              <w:right w:val="single" w:color="000000" w:sz="4" w:space="0"/>
            </w:tcBorders>
            <w:vAlign w:val="center"/>
          </w:tcPr>
          <w:p>
            <w:pPr>
              <w:rPr>
                <w:b/>
              </w:rPr>
            </w:pPr>
            <w:r>
              <w:rPr>
                <w:rFonts w:hint="eastAsia"/>
                <w:b/>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r>
              <w:t>1</w:t>
            </w:r>
            <w:r>
              <w:rPr>
                <w:rFonts w:hint="eastAsia"/>
              </w:rPr>
              <w:t>、服务水平（一）</w:t>
            </w:r>
          </w:p>
        </w:tc>
        <w:tc>
          <w:tcPr>
            <w:tcW w:w="6520" w:type="dxa"/>
            <w:tcBorders>
              <w:top w:val="single" w:color="000000" w:sz="4" w:space="0"/>
              <w:left w:val="single" w:color="000000" w:sz="4" w:space="0"/>
              <w:bottom w:val="single" w:color="000000" w:sz="4" w:space="0"/>
              <w:right w:val="single" w:color="000000" w:sz="4" w:space="0"/>
            </w:tcBorders>
            <w:vAlign w:val="center"/>
          </w:tcPr>
          <w:p>
            <w:r>
              <w:rPr>
                <w:rFonts w:hint="eastAsia"/>
              </w:rPr>
              <w:t>根据本项目物业使用特点提出合理的物业管理服务理念，提出服务定位、目标（0-1分），投标人的管理模式能够切合实际（0-2分），且安全可行，具备保密性、安全性、文明性（0-2分）</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r>
              <w:t>2</w:t>
            </w:r>
            <w:r>
              <w:rPr>
                <w:rFonts w:hint="eastAsia"/>
              </w:rPr>
              <w:t>、服务水平（二）</w:t>
            </w:r>
          </w:p>
        </w:tc>
        <w:tc>
          <w:tcPr>
            <w:tcW w:w="6520" w:type="dxa"/>
            <w:tcBorders>
              <w:top w:val="single" w:color="000000" w:sz="4" w:space="0"/>
              <w:left w:val="single" w:color="000000" w:sz="4" w:space="0"/>
              <w:bottom w:val="single" w:color="000000" w:sz="4" w:space="0"/>
              <w:right w:val="single" w:color="000000" w:sz="4" w:space="0"/>
            </w:tcBorders>
            <w:vAlign w:val="center"/>
          </w:tcPr>
          <w:p>
            <w:r>
              <w:rPr>
                <w:rFonts w:hint="eastAsia"/>
              </w:rPr>
              <w:t>有比较完善的组织架构，清晰简练地列出主要管理流程（0-1分），包括对运作流程图、激励机制、监督机制、自我约束机制、信息反馈渠道及处理机制（0-1分），管理指标承诺达到物业管理标准（0-1分）</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r>
              <w:t>3</w:t>
            </w:r>
            <w:r>
              <w:rPr>
                <w:rFonts w:hint="eastAsia"/>
              </w:rPr>
              <w:t>、服务水平（三）</w:t>
            </w:r>
          </w:p>
        </w:tc>
        <w:tc>
          <w:tcPr>
            <w:tcW w:w="6520" w:type="dxa"/>
            <w:tcBorders>
              <w:top w:val="single" w:color="000000" w:sz="4" w:space="0"/>
              <w:left w:val="single" w:color="000000" w:sz="4" w:space="0"/>
              <w:bottom w:val="single" w:color="000000" w:sz="4" w:space="0"/>
              <w:right w:val="single" w:color="000000" w:sz="4" w:space="0"/>
            </w:tcBorders>
            <w:vAlign w:val="center"/>
          </w:tcPr>
          <w:p>
            <w:r>
              <w:rPr>
                <w:rFonts w:hint="eastAsia"/>
              </w:rPr>
              <w:t>建立和完善档案管理制度（0-2分）及其配套设施权属清册等（0-1分）</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r>
              <w:t>4、人员配置</w:t>
            </w:r>
          </w:p>
        </w:tc>
        <w:tc>
          <w:tcPr>
            <w:tcW w:w="6520" w:type="dxa"/>
            <w:tcBorders>
              <w:top w:val="single" w:color="000000" w:sz="4" w:space="0"/>
              <w:left w:val="single" w:color="000000" w:sz="4" w:space="0"/>
              <w:bottom w:val="single" w:color="000000" w:sz="4" w:space="0"/>
              <w:right w:val="single" w:color="000000" w:sz="4" w:space="0"/>
            </w:tcBorders>
            <w:vAlign w:val="center"/>
          </w:tcPr>
          <w:p>
            <w:r>
              <w:t>1、项目经理年龄在45周岁以下且具备四年以上类似项目物业经理管理经验，提供证明材料得2分；持有专科及以上学历，得1分。本项最高得3分。</w:t>
            </w:r>
          </w:p>
          <w:p>
            <w:r>
              <w:t>2、安保负责人年龄在50周岁以下，安保负责人具有两年以上类似安保项目经验得1分，具有保安员上岗证得1分；所有保安队员提供保安员上岗证得2分，本项最高得4分。</w:t>
            </w:r>
          </w:p>
          <w:p>
            <w:r>
              <w:t>3、设备维修负责人具有三年以上相关工作经验并提供材料得2分，有</w:t>
            </w:r>
            <w:r>
              <w:rPr>
                <w:rFonts w:hint="eastAsia"/>
              </w:rPr>
              <w:t>中华人民共和国特种作业操作证得</w:t>
            </w:r>
            <w:r>
              <w:t>1分。本项最高3分。</w:t>
            </w:r>
          </w:p>
          <w:p>
            <w:r>
              <w:t>4、拟投入人员获得省市区县物业管理类相关荣誉的每个得1分，最多得4分（0—4分）。</w:t>
            </w:r>
          </w:p>
          <w:p>
            <w:r>
              <w:t>（以上所有人员提供证书扫描件、社保证明复印件等相关证明材料并加盖单位公章）</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r>
              <w:t>5</w:t>
            </w:r>
            <w:r>
              <w:rPr>
                <w:rFonts w:hint="eastAsia"/>
              </w:rPr>
              <w:t>、保洁服务方案</w:t>
            </w:r>
          </w:p>
        </w:tc>
        <w:tc>
          <w:tcPr>
            <w:tcW w:w="6520" w:type="dxa"/>
            <w:tcBorders>
              <w:top w:val="single" w:color="000000" w:sz="4" w:space="0"/>
              <w:left w:val="single" w:color="000000" w:sz="4" w:space="0"/>
              <w:bottom w:val="single" w:color="000000" w:sz="4" w:space="0"/>
              <w:right w:val="single" w:color="000000" w:sz="4" w:space="0"/>
            </w:tcBorders>
            <w:vAlign w:val="center"/>
          </w:tcPr>
          <w:p>
            <w:r>
              <w:rPr>
                <w:rFonts w:hint="eastAsia"/>
              </w:rPr>
              <w:t>针对本项目提供项目环境分析（0-1分），包括预期达到的管理目标（0-2分），环境清洁工作的工作标准（0-2分），环境卫生作业计划与程序（区域保洁、工具摆放、日常消杀等方案）（0-2分）；根据项目点实际情况制定垃圾分类工作方案（垃圾分类投放、标识等）（0-1分）、美丽厕所（标准、摆放等）实施方案（0-1分）</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r>
              <w:t>6</w:t>
            </w:r>
            <w:r>
              <w:rPr>
                <w:rFonts w:hint="eastAsia"/>
              </w:rPr>
              <w:t>、安保服务方案</w:t>
            </w:r>
          </w:p>
        </w:tc>
        <w:tc>
          <w:tcPr>
            <w:tcW w:w="6520" w:type="dxa"/>
            <w:tcBorders>
              <w:top w:val="single" w:color="000000" w:sz="4" w:space="0"/>
              <w:left w:val="single" w:color="000000" w:sz="4" w:space="0"/>
              <w:bottom w:val="single" w:color="000000" w:sz="4" w:space="0"/>
              <w:right w:val="single" w:color="000000" w:sz="4" w:space="0"/>
            </w:tcBorders>
            <w:vAlign w:val="center"/>
          </w:tcPr>
          <w:p>
            <w:r>
              <w:rPr>
                <w:rFonts w:hint="eastAsia"/>
              </w:rPr>
              <w:t>1、根据标准化及精细化管理，针对本项目特点提供安全服务方案，包括公共秩序维护、消防安全管理、停车管理工作方案等，做到严格有序，服务到位（0-2分）；</w:t>
            </w:r>
          </w:p>
          <w:p>
            <w:r>
              <w:rPr>
                <w:rFonts w:hint="eastAsia"/>
              </w:rPr>
              <w:t>2、有统一的安全服务装备配备标准，门岗、大厅、消控室等重点区域的实时监控措施（0-1分）；</w:t>
            </w:r>
          </w:p>
          <w:p>
            <w:r>
              <w:rPr>
                <w:rFonts w:hint="eastAsia"/>
              </w:rPr>
              <w:t>3、针对传染病及重大活动，有严格的出入登记制度及措施（2分）。</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r>
              <w:rPr>
                <w:rFonts w:hint="eastAsia"/>
              </w:rPr>
              <w:t>7、设备管理和维修方案</w:t>
            </w:r>
          </w:p>
        </w:tc>
        <w:tc>
          <w:tcPr>
            <w:tcW w:w="6520" w:type="dxa"/>
            <w:tcBorders>
              <w:top w:val="single" w:color="000000" w:sz="4" w:space="0"/>
              <w:left w:val="single" w:color="000000" w:sz="4" w:space="0"/>
              <w:bottom w:val="single" w:color="000000" w:sz="4" w:space="0"/>
              <w:right w:val="single" w:color="000000" w:sz="4" w:space="0"/>
            </w:tcBorders>
            <w:vAlign w:val="center"/>
          </w:tcPr>
          <w:p>
            <w:pPr>
              <w:jc w:val="left"/>
            </w:pPr>
            <w:r>
              <w:rPr>
                <w:rFonts w:hint="eastAsia"/>
              </w:rPr>
              <w:t>提供设备管理和维修方案：</w:t>
            </w:r>
          </w:p>
          <w:p>
            <w:pPr>
              <w:jc w:val="left"/>
            </w:pPr>
            <w:r>
              <w:rPr>
                <w:rFonts w:hint="eastAsia"/>
              </w:rPr>
              <w:t>1、根据标准化及精细化管理，做好设施设备维护工作，包括房屋维护、供配电系统、弱电系统、电梯升降系统、空调通风系统、给排水系统等维护（0-2分）；</w:t>
            </w:r>
          </w:p>
          <w:p>
            <w:pPr>
              <w:jc w:val="left"/>
            </w:pPr>
            <w:r>
              <w:rPr>
                <w:rFonts w:hint="eastAsia"/>
              </w:rPr>
              <w:t>2、建立设施设备维护保养规范、计划，承诺对重点设施设备、机房进行定期巡查、高配房24小时值班、专业检测每年一次等（0-2分）；</w:t>
            </w:r>
          </w:p>
          <w:p>
            <w:pPr>
              <w:jc w:val="left"/>
            </w:pPr>
            <w:r>
              <w:rPr>
                <w:rFonts w:hint="eastAsia"/>
              </w:rPr>
              <w:t>3、维修高效及时，各类机房的管理、建设管理到位有创新（0-1分）。</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r>
              <w:rPr>
                <w:rFonts w:hint="eastAsia"/>
              </w:rPr>
              <w:t>8、紧急事件防范</w:t>
            </w:r>
          </w:p>
        </w:tc>
        <w:tc>
          <w:tcPr>
            <w:tcW w:w="6520" w:type="dxa"/>
            <w:tcBorders>
              <w:top w:val="single" w:color="000000" w:sz="4" w:space="0"/>
              <w:left w:val="single" w:color="000000" w:sz="4" w:space="0"/>
              <w:bottom w:val="single" w:color="000000" w:sz="4" w:space="0"/>
              <w:right w:val="single" w:color="000000" w:sz="4" w:space="0"/>
            </w:tcBorders>
            <w:vAlign w:val="center"/>
          </w:tcPr>
          <w:p>
            <w:pPr>
              <w:jc w:val="left"/>
            </w:pPr>
            <w:r>
              <w:rPr>
                <w:rFonts w:hint="eastAsia"/>
              </w:rPr>
              <w:t>详细介绍已发生的应急预案的成功经验案例，注明时间、地点、详细经过、图片及相关媒体报道证明材料等，每举一例得1分（如：灭火、反恐、极端天气、燃气泄漏、设施设备等应急案例），最高得5分（0-5分）。</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r>
              <w:rPr>
                <w:rFonts w:hint="eastAsia"/>
              </w:rPr>
              <w:t>9、节能降耗</w:t>
            </w:r>
          </w:p>
        </w:tc>
        <w:tc>
          <w:tcPr>
            <w:tcW w:w="6520" w:type="dxa"/>
            <w:tcBorders>
              <w:top w:val="single" w:color="000000" w:sz="4" w:space="0"/>
              <w:left w:val="single" w:color="000000" w:sz="4" w:space="0"/>
              <w:bottom w:val="single" w:color="000000" w:sz="4" w:space="0"/>
              <w:right w:val="single" w:color="000000" w:sz="4" w:space="0"/>
            </w:tcBorders>
            <w:vAlign w:val="center"/>
          </w:tcPr>
          <w:p>
            <w:pPr>
              <w:jc w:val="left"/>
            </w:pPr>
            <w:r>
              <w:rPr>
                <w:rFonts w:hint="eastAsia"/>
              </w:rPr>
              <w:t>有严格的明确清晰的节能管控方案，落实到细节：包括节能宣传 (0-1分）；详细的能耗分析统计措施 (0-1分）；较好的节能技改措施及方案(0-1分）</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r>
              <w:rPr>
                <w:rFonts w:hint="eastAsia"/>
              </w:rPr>
              <w:t>10、特色服务情况</w:t>
            </w:r>
          </w:p>
        </w:tc>
        <w:tc>
          <w:tcPr>
            <w:tcW w:w="6520" w:type="dxa"/>
            <w:tcBorders>
              <w:top w:val="single" w:color="000000" w:sz="4" w:space="0"/>
              <w:left w:val="single" w:color="000000" w:sz="4" w:space="0"/>
              <w:bottom w:val="single" w:color="000000" w:sz="4" w:space="0"/>
              <w:right w:val="single" w:color="000000" w:sz="4" w:space="0"/>
            </w:tcBorders>
            <w:vAlign w:val="center"/>
          </w:tcPr>
          <w:p>
            <w:pPr>
              <w:jc w:val="left"/>
            </w:pPr>
            <w:r>
              <w:rPr>
                <w:rFonts w:hint="eastAsia"/>
              </w:rPr>
              <w:t>开展特色化服务，如主动对缺办公物资的办公室进行补给（包括饮用水，餐巾纸等，物资由采购人仓库提供），帮助搬运仓储物资等。一项一分最多两分（0-2分）</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trPr>
        <w:tc>
          <w:tcPr>
            <w:tcW w:w="1668" w:type="dxa"/>
            <w:tcBorders>
              <w:top w:val="single" w:color="000000" w:sz="4" w:space="0"/>
              <w:left w:val="single" w:color="000000" w:sz="4" w:space="0"/>
              <w:bottom w:val="single" w:color="000000" w:sz="4" w:space="0"/>
              <w:right w:val="single" w:color="000000" w:sz="4" w:space="0"/>
            </w:tcBorders>
            <w:vAlign w:val="center"/>
          </w:tcPr>
          <w:p>
            <w:r>
              <w:rPr>
                <w:rFonts w:hint="eastAsia"/>
              </w:rPr>
              <w:t>11、会议服务管理方案</w:t>
            </w:r>
          </w:p>
        </w:tc>
        <w:tc>
          <w:tcPr>
            <w:tcW w:w="6520" w:type="dxa"/>
            <w:tcBorders>
              <w:top w:val="single" w:color="000000" w:sz="4" w:space="0"/>
              <w:left w:val="single" w:color="000000" w:sz="4" w:space="0"/>
              <w:bottom w:val="single" w:color="000000" w:sz="4" w:space="0"/>
              <w:right w:val="single" w:color="000000" w:sz="4" w:space="0"/>
            </w:tcBorders>
            <w:vAlign w:val="center"/>
          </w:tcPr>
          <w:p>
            <w:pPr>
              <w:jc w:val="left"/>
            </w:pPr>
            <w:r>
              <w:rPr>
                <w:rFonts w:hint="eastAsia"/>
              </w:rPr>
              <w:t>1、根据会议标准化及精细化管理要求提供会务服务工作方案，包括会前布置、会中保障、会后整理，具有完整性（1分）、精细性（1分）、科学性（1分）；</w:t>
            </w:r>
          </w:p>
          <w:p>
            <w:pPr>
              <w:jc w:val="left"/>
            </w:pPr>
            <w:r>
              <w:rPr>
                <w:rFonts w:hint="eastAsia"/>
              </w:rPr>
              <w:t>2、提供此前承担过的会议服务具体实施过程的照片，包括会议开始时的布置以及会议结束时的整理照片。（1分）</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r>
              <w:rPr>
                <w:rFonts w:hint="eastAsia"/>
              </w:rPr>
              <w:t>12、培训能力、经验及机制</w:t>
            </w:r>
          </w:p>
        </w:tc>
        <w:tc>
          <w:tcPr>
            <w:tcW w:w="6520" w:type="dxa"/>
            <w:tcBorders>
              <w:top w:val="single" w:color="000000" w:sz="4" w:space="0"/>
              <w:left w:val="single" w:color="000000" w:sz="4" w:space="0"/>
              <w:bottom w:val="single" w:color="000000" w:sz="4" w:space="0"/>
              <w:right w:val="single" w:color="000000" w:sz="4" w:space="0"/>
            </w:tcBorders>
            <w:vAlign w:val="center"/>
          </w:tcPr>
          <w:p>
            <w:pPr>
              <w:jc w:val="left"/>
            </w:pPr>
            <w:r>
              <w:rPr>
                <w:rFonts w:hint="eastAsia"/>
              </w:rPr>
              <w:t>针对本项目特点提供物业管理与服务内容相关的日常培训机制：</w:t>
            </w:r>
          </w:p>
          <w:p>
            <w:pPr>
              <w:jc w:val="left"/>
            </w:pPr>
            <w:r>
              <w:rPr>
                <w:rFonts w:hint="eastAsia"/>
              </w:rPr>
              <w:t>1、投标单位有专属的培训场地，提供相关证明材料的得2分（0-2分）；</w:t>
            </w:r>
          </w:p>
          <w:p>
            <w:pPr>
              <w:jc w:val="left"/>
            </w:pPr>
            <w:r>
              <w:rPr>
                <w:rFonts w:hint="eastAsia"/>
              </w:rPr>
              <w:t>2、提供各类培训内容材料（须体现培训内容、频次、案例及图片）得2分（0-2分）</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4</w:t>
            </w:r>
          </w:p>
        </w:tc>
      </w:tr>
      <w:bookmarkEnd w:id="33"/>
    </w:tbl>
    <w:p>
      <w:pPr>
        <w:pStyle w:val="26"/>
        <w:spacing w:before="0" w:line="440" w:lineRule="exact"/>
        <w:ind w:firstLine="602" w:firstLineChars="250"/>
        <w:rPr>
          <w:rFonts w:ascii="Times New Roman" w:hAnsi="Times New Roman" w:eastAsiaTheme="minorEastAsia"/>
          <w:b/>
        </w:rPr>
      </w:pPr>
      <w:r>
        <w:rPr>
          <w:b/>
        </w:rPr>
        <w:t>商务分</w:t>
      </w:r>
      <w:r>
        <w:rPr>
          <w:rFonts w:ascii="Times New Roman" w:hAnsi="Times New Roman" w:eastAsiaTheme="minorEastAsia"/>
          <w:b/>
        </w:rPr>
        <w:t>（10分）：</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4"/>
        <w:gridCol w:w="6542"/>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1674" w:type="dxa"/>
            <w:tcBorders>
              <w:top w:val="single" w:color="000000" w:sz="4" w:space="0"/>
              <w:left w:val="single" w:color="000000" w:sz="4" w:space="0"/>
              <w:bottom w:val="single" w:color="000000" w:sz="4" w:space="0"/>
              <w:right w:val="single" w:color="000000" w:sz="4" w:space="0"/>
            </w:tcBorders>
            <w:vAlign w:val="center"/>
          </w:tcPr>
          <w:p>
            <w:pPr>
              <w:rPr>
                <w:b/>
              </w:rPr>
            </w:pPr>
            <w:r>
              <w:rPr>
                <w:rFonts w:hint="eastAsia"/>
                <w:b/>
              </w:rPr>
              <w:t>评分细则</w:t>
            </w:r>
          </w:p>
        </w:tc>
        <w:tc>
          <w:tcPr>
            <w:tcW w:w="6542" w:type="dxa"/>
            <w:tcBorders>
              <w:top w:val="single" w:color="000000" w:sz="4" w:space="0"/>
              <w:left w:val="single" w:color="000000" w:sz="4" w:space="0"/>
              <w:bottom w:val="single" w:color="000000" w:sz="4" w:space="0"/>
              <w:right w:val="single" w:color="000000" w:sz="4" w:space="0"/>
            </w:tcBorders>
            <w:vAlign w:val="center"/>
          </w:tcPr>
          <w:p>
            <w:pPr>
              <w:ind w:firstLine="1807" w:firstLineChars="750"/>
              <w:rPr>
                <w:b/>
              </w:rPr>
            </w:pPr>
            <w:r>
              <w:rPr>
                <w:rFonts w:hint="eastAsia"/>
                <w:b/>
              </w:rPr>
              <w:t>评分标准</w:t>
            </w:r>
          </w:p>
        </w:tc>
        <w:tc>
          <w:tcPr>
            <w:tcW w:w="853" w:type="dxa"/>
            <w:tcBorders>
              <w:top w:val="single" w:color="000000" w:sz="4" w:space="0"/>
              <w:left w:val="single" w:color="000000" w:sz="4" w:space="0"/>
              <w:bottom w:val="single" w:color="000000" w:sz="4" w:space="0"/>
              <w:right w:val="single" w:color="000000" w:sz="4" w:space="0"/>
            </w:tcBorders>
            <w:vAlign w:val="center"/>
          </w:tcPr>
          <w:p>
            <w:pPr>
              <w:rPr>
                <w:b/>
              </w:rPr>
            </w:pPr>
            <w:r>
              <w:rPr>
                <w:rFonts w:hint="eastAsia"/>
                <w:b/>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7" w:hRule="atLeast"/>
        </w:trPr>
        <w:tc>
          <w:tcPr>
            <w:tcW w:w="1674" w:type="dxa"/>
            <w:tcBorders>
              <w:top w:val="single" w:color="000000" w:sz="4" w:space="0"/>
              <w:left w:val="single" w:color="000000" w:sz="4" w:space="0"/>
              <w:bottom w:val="single" w:color="000000" w:sz="4" w:space="0"/>
              <w:right w:val="single" w:color="000000" w:sz="4" w:space="0"/>
            </w:tcBorders>
            <w:vAlign w:val="center"/>
          </w:tcPr>
          <w:p>
            <w:pPr>
              <w:widowControl/>
              <w:rPr>
                <w:color w:val="000000"/>
                <w:kern w:val="0"/>
              </w:rPr>
            </w:pPr>
            <w:r>
              <w:rPr>
                <w:color w:val="000000"/>
                <w:kern w:val="0"/>
              </w:rPr>
              <w:t>1、管理体系认证（4分）</w:t>
            </w:r>
          </w:p>
        </w:tc>
        <w:tc>
          <w:tcPr>
            <w:tcW w:w="6542" w:type="dxa"/>
            <w:tcBorders>
              <w:top w:val="single" w:color="000000" w:sz="4" w:space="0"/>
              <w:left w:val="single" w:color="000000" w:sz="4" w:space="0"/>
              <w:bottom w:val="single" w:color="000000" w:sz="4" w:space="0"/>
              <w:right w:val="single" w:color="000000" w:sz="4" w:space="0"/>
            </w:tcBorders>
            <w:vAlign w:val="center"/>
          </w:tcPr>
          <w:p>
            <w:pPr>
              <w:widowControl/>
              <w:rPr>
                <w:kern w:val="0"/>
              </w:rPr>
            </w:pPr>
            <w:r>
              <w:rPr>
                <w:kern w:val="0"/>
              </w:rPr>
              <w:t>投标人具有1S09001质量管理体系、IS014001环境管理体系、OHSAS18001职业健康安全管理体系、GB/T31950诚信管理体系，每提供一项得1分，最高得4分。</w:t>
            </w:r>
            <w:r>
              <w:rPr>
                <w:rFonts w:hint="eastAsia"/>
                <w:kern w:val="0"/>
              </w:rPr>
              <w:t>（证书范围应与本项目物业服务内容有关，并</w:t>
            </w:r>
            <w:r>
              <w:rPr>
                <w:kern w:val="0"/>
              </w:rPr>
              <w:t>提供证书复印件，加盖单位公章</w:t>
            </w:r>
            <w:r>
              <w:rPr>
                <w:rFonts w:hint="eastAsia"/>
                <w:kern w:val="0"/>
              </w:rPr>
              <w:t>）</w:t>
            </w:r>
          </w:p>
        </w:tc>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rPr>
            </w:pPr>
            <w:r>
              <w:rPr>
                <w:color w:val="000000"/>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trPr>
        <w:tc>
          <w:tcPr>
            <w:tcW w:w="1674" w:type="dxa"/>
            <w:tcBorders>
              <w:top w:val="single" w:color="000000" w:sz="4" w:space="0"/>
              <w:left w:val="single" w:color="000000" w:sz="4" w:space="0"/>
              <w:bottom w:val="single" w:color="000000" w:sz="4" w:space="0"/>
              <w:right w:val="single" w:color="000000" w:sz="4" w:space="0"/>
            </w:tcBorders>
            <w:vAlign w:val="center"/>
          </w:tcPr>
          <w:p>
            <w:pPr>
              <w:widowControl/>
              <w:rPr>
                <w:color w:val="000000"/>
                <w:kern w:val="0"/>
              </w:rPr>
            </w:pPr>
            <w:r>
              <w:rPr>
                <w:color w:val="000000"/>
                <w:kern w:val="0"/>
              </w:rPr>
              <w:t>2、项目业绩</w:t>
            </w:r>
            <w:r>
              <w:rPr>
                <w:rFonts w:hint="eastAsia"/>
                <w:color w:val="000000"/>
                <w:kern w:val="0"/>
              </w:rPr>
              <w:t>（</w:t>
            </w:r>
            <w:r>
              <w:rPr>
                <w:color w:val="000000"/>
                <w:kern w:val="0"/>
              </w:rPr>
              <w:t>3分</w:t>
            </w:r>
            <w:r>
              <w:rPr>
                <w:rFonts w:hint="eastAsia"/>
                <w:color w:val="000000"/>
                <w:kern w:val="0"/>
              </w:rPr>
              <w:t>）</w:t>
            </w:r>
          </w:p>
        </w:tc>
        <w:tc>
          <w:tcPr>
            <w:tcW w:w="6542" w:type="dxa"/>
            <w:tcBorders>
              <w:top w:val="single" w:color="000000" w:sz="4" w:space="0"/>
              <w:left w:val="single" w:color="000000" w:sz="4" w:space="0"/>
              <w:bottom w:val="single" w:color="000000" w:sz="4" w:space="0"/>
              <w:right w:val="single" w:color="000000" w:sz="4" w:space="0"/>
            </w:tcBorders>
            <w:vAlign w:val="center"/>
          </w:tcPr>
          <w:p>
            <w:pPr>
              <w:widowControl/>
              <w:rPr>
                <w:kern w:val="0"/>
              </w:rPr>
            </w:pPr>
            <w:r>
              <w:rPr>
                <w:kern w:val="0"/>
              </w:rPr>
              <w:t>投标单位提供2018年1月1日(以合同签订时间为准)以来承担过的物业管理实施案例合同，每提供一个得1分，最高得分3分。（需提供合同证明复印件，加盖单位公章）</w:t>
            </w:r>
          </w:p>
        </w:tc>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rPr>
            </w:pPr>
            <w:r>
              <w:rPr>
                <w:color w:val="000000"/>
                <w:kern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8" w:hRule="atLeast"/>
        </w:trPr>
        <w:tc>
          <w:tcPr>
            <w:tcW w:w="1674" w:type="dxa"/>
            <w:tcBorders>
              <w:top w:val="single" w:color="000000" w:sz="4" w:space="0"/>
              <w:left w:val="single" w:color="000000" w:sz="4" w:space="0"/>
              <w:bottom w:val="single" w:color="000000" w:sz="4" w:space="0"/>
              <w:right w:val="single" w:color="000000" w:sz="4" w:space="0"/>
            </w:tcBorders>
            <w:vAlign w:val="center"/>
          </w:tcPr>
          <w:p>
            <w:pPr>
              <w:widowControl/>
              <w:rPr>
                <w:color w:val="000000"/>
                <w:kern w:val="0"/>
              </w:rPr>
            </w:pPr>
            <w:r>
              <w:rPr>
                <w:color w:val="000000"/>
                <w:kern w:val="0"/>
              </w:rPr>
              <w:t>3、投标单位企业实力（3分）</w:t>
            </w:r>
          </w:p>
        </w:tc>
        <w:tc>
          <w:tcPr>
            <w:tcW w:w="6542" w:type="dxa"/>
            <w:tcBorders>
              <w:top w:val="single" w:color="000000" w:sz="4" w:space="0"/>
              <w:left w:val="single" w:color="000000" w:sz="4" w:space="0"/>
              <w:bottom w:val="single" w:color="000000" w:sz="4" w:space="0"/>
              <w:right w:val="single" w:color="000000" w:sz="4" w:space="0"/>
            </w:tcBorders>
            <w:vAlign w:val="center"/>
          </w:tcPr>
          <w:p>
            <w:pPr>
              <w:widowControl/>
              <w:rPr>
                <w:color w:val="000000"/>
                <w:kern w:val="0"/>
              </w:rPr>
            </w:pPr>
            <w:r>
              <w:rPr>
                <w:color w:val="000000"/>
                <w:kern w:val="0"/>
              </w:rPr>
              <w:t>投标人自2017年1月1日以来获得由政府部门认定的5星级及以上物业服务企业的得3分，4星级物业服务企业的</w:t>
            </w:r>
            <w:r>
              <w:rPr>
                <w:rFonts w:hint="eastAsia"/>
                <w:color w:val="000000"/>
                <w:kern w:val="0"/>
              </w:rPr>
              <w:t>每提供一个</w:t>
            </w:r>
            <w:r>
              <w:rPr>
                <w:color w:val="000000"/>
                <w:kern w:val="0"/>
              </w:rPr>
              <w:t>得1分。</w:t>
            </w:r>
            <w:r>
              <w:rPr>
                <w:rFonts w:hint="eastAsia"/>
                <w:color w:val="000000"/>
                <w:kern w:val="0"/>
              </w:rPr>
              <w:t>本项</w:t>
            </w:r>
            <w:r>
              <w:rPr>
                <w:color w:val="000000"/>
                <w:kern w:val="0"/>
              </w:rPr>
              <w:t>最多得3分，提供扫描件并加盖有效公章。</w:t>
            </w:r>
          </w:p>
        </w:tc>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rPr>
            </w:pPr>
            <w:r>
              <w:rPr>
                <w:color w:val="000000"/>
                <w:kern w:val="0"/>
              </w:rPr>
              <w:t>3</w:t>
            </w:r>
          </w:p>
        </w:tc>
      </w:tr>
    </w:tbl>
    <w:p>
      <w:pPr>
        <w:pStyle w:val="26"/>
        <w:spacing w:before="0" w:line="440" w:lineRule="exact"/>
        <w:ind w:firstLine="602" w:firstLineChars="250"/>
        <w:rPr>
          <w:b/>
        </w:rPr>
      </w:pPr>
    </w:p>
    <w:p>
      <w:pPr>
        <w:pStyle w:val="26"/>
        <w:spacing w:before="0" w:line="440" w:lineRule="exact"/>
        <w:ind w:firstLine="0" w:firstLineChars="0"/>
        <w:rPr>
          <w:rFonts w:ascii="Times New Roman" w:hAnsi="Times New Roman"/>
          <w:b/>
          <w:kern w:val="0"/>
          <w:szCs w:val="24"/>
        </w:rPr>
      </w:pPr>
      <w:r>
        <w:rPr>
          <w:rFonts w:ascii="Times New Roman" w:hAnsi="Times New Roman"/>
          <w:b/>
          <w:bCs/>
        </w:rPr>
        <w:t xml:space="preserve">   </w:t>
      </w:r>
      <w:r>
        <w:rPr>
          <w:rFonts w:hint="eastAsia" w:ascii="Times New Roman" w:hAnsi="Times New Roman"/>
          <w:b/>
          <w:bCs/>
        </w:rPr>
        <w:t xml:space="preserve">  </w:t>
      </w:r>
      <w:r>
        <w:rPr>
          <w:rFonts w:ascii="Times New Roman" w:hAnsi="Times New Roman"/>
          <w:b/>
          <w:bCs/>
        </w:rPr>
        <w:t>注：以上方案、证书、荣誉、业绩等资料须按要求在投标文件中提供证明内容。</w:t>
      </w:r>
    </w:p>
    <w:p>
      <w:pPr>
        <w:pStyle w:val="26"/>
        <w:spacing w:before="0" w:line="440" w:lineRule="exact"/>
        <w:ind w:firstLine="0" w:firstLineChars="0"/>
        <w:rPr>
          <w:rFonts w:ascii="Times New Roman" w:hAnsi="Times New Roman"/>
          <w:b/>
          <w:kern w:val="0"/>
          <w:szCs w:val="24"/>
        </w:rPr>
      </w:pPr>
      <w:r>
        <w:rPr>
          <w:rFonts w:ascii="Times New Roman" w:hAnsi="Times New Roman"/>
          <w:b/>
          <w:kern w:val="0"/>
          <w:szCs w:val="24"/>
        </w:rPr>
        <w:t>四、解释权</w:t>
      </w:r>
    </w:p>
    <w:p>
      <w:pPr>
        <w:adjustRightInd w:val="0"/>
        <w:snapToGrid w:val="0"/>
        <w:spacing w:line="440" w:lineRule="exact"/>
        <w:ind w:firstLine="480" w:firstLineChars="200"/>
        <w:rPr>
          <w:kern w:val="0"/>
        </w:rPr>
      </w:pPr>
      <w:r>
        <w:rPr>
          <w:kern w:val="0"/>
        </w:rPr>
        <w:t xml:space="preserve">凡涉及本次招标文件的解释权属于采购人与杭州市公共资源交易中心临平分中心。  </w:t>
      </w:r>
    </w:p>
    <w:p>
      <w:pPr>
        <w:pStyle w:val="2"/>
        <w:rPr>
          <w:color w:val="auto"/>
        </w:rPr>
      </w:pPr>
      <w:r>
        <w:rPr>
          <w:color w:val="auto"/>
        </w:rPr>
        <w:br w:type="page"/>
      </w:r>
      <w:bookmarkStart w:id="34" w:name="_Toc66264907"/>
      <w:r>
        <w:rPr>
          <w:color w:val="auto"/>
        </w:rPr>
        <w:t>第五章  政府采购合同范本</w:t>
      </w:r>
      <w:bookmarkEnd w:id="34"/>
    </w:p>
    <w:p>
      <w:pPr>
        <w:pStyle w:val="9"/>
        <w:snapToGrid w:val="0"/>
        <w:jc w:val="right"/>
        <w:rPr>
          <w:rFonts w:ascii="Times New Roman" w:hAnsi="Times New Roman"/>
          <w:b/>
          <w:sz w:val="28"/>
          <w:szCs w:val="28"/>
        </w:rPr>
      </w:pPr>
      <w:bookmarkStart w:id="35" w:name="_Toc194217895"/>
      <w:r>
        <w:t xml:space="preserve">  </w:t>
      </w:r>
      <w:r>
        <w:rPr>
          <w:rFonts w:ascii="Times New Roman" w:hAnsi="Times New Roman"/>
          <w:szCs w:val="24"/>
        </w:rPr>
        <w:t xml:space="preserve">合同编号：            </w:t>
      </w:r>
    </w:p>
    <w:p>
      <w:pPr>
        <w:pStyle w:val="9"/>
        <w:snapToGrid w:val="0"/>
        <w:rPr>
          <w:rFonts w:ascii="Times New Roman" w:hAnsi="Times New Roman"/>
          <w:szCs w:val="24"/>
        </w:rPr>
      </w:pPr>
      <w:r>
        <w:rPr>
          <w:rFonts w:ascii="Times New Roman" w:hAnsi="Times New Roman"/>
          <w:szCs w:val="24"/>
        </w:rPr>
        <w:t>甲方：（买方）</w:t>
      </w:r>
    </w:p>
    <w:p>
      <w:pPr>
        <w:pStyle w:val="9"/>
        <w:snapToGrid w:val="0"/>
        <w:rPr>
          <w:rFonts w:ascii="Times New Roman" w:hAnsi="Times New Roman"/>
          <w:szCs w:val="24"/>
        </w:rPr>
      </w:pPr>
      <w:r>
        <w:rPr>
          <w:rFonts w:ascii="Times New Roman" w:hAnsi="Times New Roman"/>
          <w:szCs w:val="24"/>
        </w:rPr>
        <w:t>乙方：（卖方）</w:t>
      </w:r>
    </w:p>
    <w:p>
      <w:pPr>
        <w:pStyle w:val="9"/>
        <w:snapToGrid w:val="0"/>
        <w:rPr>
          <w:rFonts w:ascii="Times New Roman" w:hAnsi="Times New Roman"/>
          <w:kern w:val="0"/>
        </w:rPr>
      </w:pPr>
      <w:r>
        <w:rPr>
          <w:rFonts w:ascii="Times New Roman" w:hAnsi="Times New Roman"/>
          <w:b/>
          <w:szCs w:val="24"/>
        </w:rPr>
        <w:t xml:space="preserve">  </w:t>
      </w:r>
      <w:r>
        <w:rPr>
          <w:rFonts w:ascii="Times New Roman" w:hAnsi="Times New Roman"/>
        </w:rPr>
        <w:t xml:space="preserve"> 甲、乙双方基于</w:t>
      </w:r>
      <w:r>
        <w:rPr>
          <w:rFonts w:ascii="Times New Roman" w:hAnsi="Times New Roman"/>
          <w:u w:val="single"/>
        </w:rPr>
        <w:t xml:space="preserve">                  </w:t>
      </w:r>
      <w:r>
        <w:rPr>
          <w:rFonts w:ascii="Times New Roman" w:hAnsi="Times New Roman"/>
        </w:rPr>
        <w:t>项目（项目编号：HZYHZFCG-20  -    ）的采购结果，根据《中</w:t>
      </w:r>
      <w:r>
        <w:rPr>
          <w:rFonts w:hint="eastAsia" w:ascii="Times New Roman" w:hAnsi="Times New Roman"/>
          <w:lang w:val="en-US" w:eastAsia="zh-CN"/>
        </w:rPr>
        <w:t>华</w:t>
      </w:r>
      <w:r>
        <w:rPr>
          <w:rFonts w:ascii="Times New Roman" w:hAnsi="Times New Roman"/>
        </w:rPr>
        <w:t xml:space="preserve">人民共和国合同法》等有关法律法规，经友好协商，在平等自愿的基础上签署本合同。  </w:t>
      </w:r>
    </w:p>
    <w:p>
      <w:pPr>
        <w:rPr>
          <w:b/>
          <w:bCs/>
        </w:rPr>
      </w:pPr>
      <w:r>
        <w:rPr>
          <w:b/>
          <w:bCs/>
        </w:rPr>
        <w:t>第一条：服务内容</w:t>
      </w:r>
    </w:p>
    <w:p>
      <w:pPr>
        <w:ind w:firstLine="480" w:firstLineChars="200"/>
      </w:pPr>
      <w:r>
        <w:t>1、</w:t>
      </w:r>
      <w:r>
        <w:rPr>
          <w:u w:val="single"/>
        </w:rPr>
        <w:t xml:space="preserve">            </w:t>
      </w:r>
    </w:p>
    <w:p>
      <w:pPr>
        <w:ind w:firstLine="480" w:firstLineChars="200"/>
      </w:pPr>
      <w:r>
        <w:t>2、</w:t>
      </w:r>
      <w:r>
        <w:rPr>
          <w:u w:val="single"/>
        </w:rPr>
        <w:t xml:space="preserve">            </w:t>
      </w:r>
      <w:bookmarkStart w:id="64" w:name="_GoBack"/>
      <w:bookmarkEnd w:id="64"/>
    </w:p>
    <w:p>
      <w:pPr>
        <w:numPr>
          <w:ilvl w:val="0"/>
          <w:numId w:val="3"/>
        </w:numPr>
        <w:rPr>
          <w:b/>
          <w:bCs/>
        </w:rPr>
      </w:pPr>
      <w:r>
        <w:rPr>
          <w:b/>
          <w:bCs/>
        </w:rPr>
        <w:t>：服务期限</w:t>
      </w:r>
    </w:p>
    <w:p>
      <w:pPr>
        <w:ind w:firstLine="480" w:firstLineChars="200"/>
      </w:pPr>
      <w:r>
        <w:t xml:space="preserve">自20 </w:t>
      </w:r>
      <w:r>
        <w:rPr>
          <w:u w:val="single"/>
        </w:rPr>
        <w:t xml:space="preserve">   </w:t>
      </w:r>
      <w:r>
        <w:t>年</w:t>
      </w:r>
      <w:r>
        <w:rPr>
          <w:u w:val="single"/>
        </w:rPr>
        <w:t xml:space="preserve">   </w:t>
      </w:r>
      <w:r>
        <w:t>月</w:t>
      </w:r>
      <w:r>
        <w:rPr>
          <w:u w:val="single"/>
        </w:rPr>
        <w:t xml:space="preserve">   </w:t>
      </w:r>
      <w:r>
        <w:t>日至20</w:t>
      </w:r>
      <w:r>
        <w:rPr>
          <w:u w:val="single"/>
        </w:rPr>
        <w:t xml:space="preserve">    </w:t>
      </w:r>
      <w:r>
        <w:t xml:space="preserve">年 </w:t>
      </w:r>
      <w:r>
        <w:rPr>
          <w:u w:val="single"/>
        </w:rPr>
        <w:t xml:space="preserve">   </w:t>
      </w:r>
      <w:r>
        <w:t>月</w:t>
      </w:r>
      <w:r>
        <w:rPr>
          <w:u w:val="single"/>
        </w:rPr>
        <w:t xml:space="preserve">     </w:t>
      </w:r>
      <w:r>
        <w:t>日（或者自合同生效之日起</w:t>
      </w:r>
      <w:r>
        <w:rPr>
          <w:u w:val="single"/>
        </w:rPr>
        <w:t xml:space="preserve">    </w:t>
      </w:r>
      <w:r>
        <w:t>年）。</w:t>
      </w:r>
    </w:p>
    <w:p>
      <w:pPr>
        <w:numPr>
          <w:ilvl w:val="0"/>
          <w:numId w:val="3"/>
        </w:numPr>
        <w:rPr>
          <w:b/>
          <w:bCs/>
        </w:rPr>
      </w:pPr>
      <w:r>
        <w:rPr>
          <w:b/>
          <w:bCs/>
        </w:rPr>
        <w:t>：服务费用及支付方式</w:t>
      </w:r>
    </w:p>
    <w:p>
      <w:pPr>
        <w:ind w:firstLine="480" w:firstLineChars="200"/>
        <w:jc w:val="left"/>
      </w:pPr>
      <w:r>
        <w:rPr>
          <w:rFonts w:hint="eastAsia"/>
        </w:rPr>
        <w:t>甲方根据物业服务质量考核结果按季支付物业管理服务费，自合同签订之日起15日内支付年合同价预付款10%，经甲方考核合格后按季付款，每个季度支付合同价1/4×90%</w:t>
      </w:r>
    </w:p>
    <w:p>
      <w:pPr>
        <w:ind w:firstLine="480" w:firstLineChars="200"/>
      </w:pPr>
      <w:r>
        <w:t>合同签订生效以及具备实施条件后15天内，</w:t>
      </w:r>
      <w:r>
        <w:rPr>
          <w:rFonts w:hint="eastAsia"/>
        </w:rPr>
        <w:t>甲方</w:t>
      </w:r>
      <w:r>
        <w:t>向</w:t>
      </w:r>
      <w:r>
        <w:rPr>
          <w:rFonts w:hint="eastAsia"/>
        </w:rPr>
        <w:t>乙方</w:t>
      </w:r>
      <w:r>
        <w:t>支付合同金额</w:t>
      </w:r>
      <w:r>
        <w:rPr>
          <w:rFonts w:hint="eastAsia"/>
        </w:rPr>
        <w:t>10</w:t>
      </w:r>
      <w:r>
        <w:t>％的预付款；</w:t>
      </w:r>
      <w:r>
        <w:rPr>
          <w:rFonts w:hint="eastAsia"/>
        </w:rPr>
        <w:t>甲方</w:t>
      </w:r>
      <w:r>
        <w:t xml:space="preserve">凭发票、确认单以及合同上报区财政，区财政审批下拨款到位后，支付剩余合同价货款。 </w:t>
      </w:r>
    </w:p>
    <w:p>
      <w:r>
        <w:rPr>
          <w:rFonts w:hint="eastAsia"/>
          <w:b/>
        </w:rPr>
        <w:t>第四条</w:t>
      </w:r>
      <w:r>
        <w:rPr>
          <w:b/>
          <w:bCs/>
        </w:rPr>
        <w:t>：保证金条款</w:t>
      </w:r>
    </w:p>
    <w:p>
      <w:pPr>
        <w:ind w:firstLine="480" w:firstLineChars="200"/>
      </w:pPr>
      <w:r>
        <w:t>合同生效后7个工作日内</w:t>
      </w:r>
      <w:r>
        <w:rPr>
          <w:rFonts w:hint="eastAsia"/>
        </w:rPr>
        <w:t>乙方</w:t>
      </w:r>
      <w:r>
        <w:t>向</w:t>
      </w:r>
      <w:r>
        <w:rPr>
          <w:rFonts w:hint="eastAsia"/>
        </w:rPr>
        <w:t>甲方</w:t>
      </w:r>
      <w:r>
        <w:t>交纳合同金额的5%的履约保证金。</w:t>
      </w:r>
      <w:r>
        <w:rPr>
          <w:rFonts w:hint="eastAsia"/>
        </w:rPr>
        <w:t>以保证乙方遵守本合同的一切条款、条件和承诺，该保证金在乙方的规定存续期间不计息。</w:t>
      </w:r>
    </w:p>
    <w:p>
      <w:pPr>
        <w:rPr>
          <w:b/>
          <w:bCs/>
        </w:rPr>
      </w:pPr>
      <w:r>
        <w:rPr>
          <w:rFonts w:hint="eastAsia"/>
          <w:b/>
          <w:bCs/>
        </w:rPr>
        <w:t>第五条</w:t>
      </w:r>
      <w:r>
        <w:rPr>
          <w:b/>
          <w:bCs/>
        </w:rPr>
        <w:t>：甲方的权利和义务</w:t>
      </w:r>
    </w:p>
    <w:p>
      <w:pPr>
        <w:ind w:firstLine="480" w:firstLineChars="200"/>
      </w:pPr>
      <w:r>
        <w:rPr>
          <w:rFonts w:hint="eastAsia"/>
        </w:rPr>
        <w:t>1、 审核乙方制订的管理方案、年度维修养护计划，并监督、检查乙方各项方案和计划的实施。</w:t>
      </w:r>
    </w:p>
    <w:p>
      <w:pPr>
        <w:ind w:firstLine="480" w:firstLineChars="200"/>
      </w:pPr>
      <w:r>
        <w:rPr>
          <w:rFonts w:hint="eastAsia"/>
        </w:rPr>
        <w:t>2、为乙方无偿提供必要的物业管理办公服务用房：协助乙方做好物业管理服务工作。</w:t>
      </w:r>
    </w:p>
    <w:p>
      <w:pPr>
        <w:ind w:firstLine="480" w:firstLineChars="200"/>
      </w:pPr>
      <w:r>
        <w:rPr>
          <w:rFonts w:hint="eastAsia"/>
        </w:rPr>
        <w:t>3、对乙方的物业管理日常工作进行监督检查，对不达到规定要求的摄出数见，对不符合有关要求的乙方管理服务人员提出更换意见，并督促乙方及时调整</w:t>
      </w:r>
    </w:p>
    <w:p>
      <w:pPr>
        <w:ind w:firstLine="480" w:firstLineChars="200"/>
      </w:pPr>
      <w:r>
        <w:rPr>
          <w:rFonts w:hint="eastAsia"/>
        </w:rPr>
        <w:t>4、甲方的房屋建筑物、设施设备等如存在施工、安装、设备质量问题，由甲方负责返修，或委托乙方返修，支付全部费用。</w:t>
      </w:r>
    </w:p>
    <w:p>
      <w:pPr>
        <w:ind w:firstLine="480" w:firstLineChars="200"/>
      </w:pPr>
      <w:r>
        <w:rPr>
          <w:rFonts w:hint="eastAsia"/>
        </w:rPr>
        <w:t>5、协助乙方完成甲方创优硬件标准的建设。</w:t>
      </w:r>
    </w:p>
    <w:p>
      <w:pPr>
        <w:ind w:firstLine="480" w:firstLineChars="200"/>
      </w:pPr>
      <w:r>
        <w:rPr>
          <w:rFonts w:hint="eastAsia"/>
        </w:rPr>
        <w:t>6、法规、规章、规范性文件中规定的由甲方承担的责任。</w:t>
      </w:r>
    </w:p>
    <w:p>
      <w:pPr>
        <w:ind w:firstLine="480" w:firstLineChars="200"/>
      </w:pPr>
      <w:r>
        <w:rPr>
          <w:rFonts w:hint="eastAsia"/>
        </w:rPr>
        <w:t>7、为维护公众、业主、使用人的切身利益，在不可预见情况下，如发生煤气泄漏、漏电、火灾、水管破裂、救助人命、协助公安机关执行任务等突发事件，甲方应积极配合乙方对上述灾害发生时所采取的紧急避险措施，乙方采取的紧急避险措施造成财产损失的，当事双方按有关法律规定处理。</w:t>
      </w:r>
    </w:p>
    <w:p>
      <w:pPr>
        <w:rPr>
          <w:b/>
          <w:bCs/>
        </w:rPr>
      </w:pPr>
      <w:r>
        <w:rPr>
          <w:rFonts w:hint="eastAsia"/>
          <w:b/>
          <w:bCs/>
        </w:rPr>
        <w:t>第六条</w:t>
      </w:r>
      <w:r>
        <w:rPr>
          <w:b/>
          <w:bCs/>
        </w:rPr>
        <w:t>：乙方的权利和义务</w:t>
      </w:r>
    </w:p>
    <w:p>
      <w:pPr>
        <w:ind w:firstLine="480" w:firstLineChars="200"/>
      </w:pPr>
      <w:r>
        <w:rPr>
          <w:rFonts w:hint="eastAsia"/>
        </w:rPr>
        <w:t>1、  履行本合同管理服务项目，向甲方提供符合标准的物业服务，根据本合同的约定，向甲方收取相关物业服务费用。</w:t>
      </w:r>
    </w:p>
    <w:p>
      <w:pPr>
        <w:ind w:firstLine="480" w:firstLineChars="200"/>
      </w:pPr>
      <w:r>
        <w:rPr>
          <w:rFonts w:hint="eastAsia"/>
        </w:rPr>
        <w:t>2、设立专门机构负责本物业项目日常管理工作，开展各项物业管理服务活动，工作人员必须符合甲方规定要求和劳动部门有关用工规定，并经乙方相关专业培训考核合格后持证上岗。国家明求区上岗的工种，必须持有相应操作资质的上岗证件。</w:t>
      </w:r>
    </w:p>
    <w:p>
      <w:pPr>
        <w:ind w:firstLine="480" w:firstLineChars="200"/>
      </w:pPr>
      <w:r>
        <w:rPr>
          <w:rFonts w:hint="eastAsia"/>
        </w:rPr>
        <w:t>3.、 向甲方报送服务中心物业服务方案、各类管理制度、年度管理计划、年度维修养护计划等，经甲方审核同意后实施。</w:t>
      </w:r>
    </w:p>
    <w:p>
      <w:pPr>
        <w:ind w:firstLine="480" w:firstLineChars="200"/>
      </w:pPr>
      <w:r>
        <w:rPr>
          <w:rFonts w:hint="eastAsia"/>
        </w:rPr>
        <w:t>4、 向甲方及时汇报管理服务区域内的重大物业服务事项：对甲方及甲方员工。外来客户等违反项目相关规定的行为，及时进行劝阻、制止，必要时上报甲方领导或相关行政主管部门。</w:t>
      </w:r>
    </w:p>
    <w:p>
      <w:pPr>
        <w:ind w:firstLine="480" w:firstLineChars="200"/>
      </w:pPr>
      <w:r>
        <w:rPr>
          <w:rFonts w:hint="eastAsia"/>
        </w:rPr>
        <w:t>5、加强对派遣的物业管理人员教育培训管理，提高服务人员的综合素质，搞好安全作业：物业管理人员必须遵纪守法，严格执行甲方有关规章制度：不得从事违纪违规和损害甲方利益形象行为，对涉及甲方经营管理和服务中心物业管理工作中的机密事项负有保守秘密的责任和义务。</w:t>
      </w:r>
    </w:p>
    <w:p>
      <w:pPr>
        <w:ind w:firstLine="480" w:firstLineChars="200"/>
      </w:pPr>
      <w:r>
        <w:rPr>
          <w:rFonts w:hint="eastAsia"/>
        </w:rPr>
        <w:t>6、乙方在承包区域只从事甲方认可的服务工作，不得利用提供物业管理服务的便利获取不当利益。</w:t>
      </w:r>
    </w:p>
    <w:p>
      <w:pPr>
        <w:ind w:firstLine="480" w:firstLineChars="200"/>
      </w:pPr>
      <w:r>
        <w:rPr>
          <w:rFonts w:hint="eastAsia"/>
        </w:rPr>
        <w:t>7、 因物业维修、翻新等需要，需临时占用、挖掘本物业任何区域，乙方应提出施工方案，征得甲方书面同意。</w:t>
      </w:r>
    </w:p>
    <w:p>
      <w:pPr>
        <w:ind w:firstLine="480" w:firstLineChars="200"/>
      </w:pPr>
      <w:r>
        <w:rPr>
          <w:rFonts w:hint="eastAsia"/>
        </w:rPr>
        <w:t>8、在承包区域的各项服务，其工作时间必须满足甲方的工作要求，包括法定节假和双休日：甲方如有重大会议或活动事项，乙方应积极配合协助做好有关服务工作。属本合同物业管理服务规定外其他另行服务事项费用，双方协商确定。</w:t>
      </w:r>
    </w:p>
    <w:p>
      <w:pPr>
        <w:ind w:firstLine="480" w:firstLineChars="200"/>
      </w:pPr>
      <w:r>
        <w:rPr>
          <w:rFonts w:hint="eastAsia"/>
        </w:rPr>
        <w:t>9、遇突发事件或安全检查时，乙方必须配合有关机构执行任务，并指定专职人员协助工作，直至完成。</w:t>
      </w:r>
    </w:p>
    <w:p>
      <w:pPr>
        <w:ind w:firstLine="480" w:firstLineChars="200"/>
      </w:pPr>
      <w:r>
        <w:rPr>
          <w:rFonts w:hint="eastAsia"/>
        </w:rPr>
        <w:t>10、本合同终止时，乙方必须向甲方移交全部办公服务用房、甲方购置的所有工具设备、卫生用品、余杭区社会福利中心、救助站物业管理全部档案资料等。</w:t>
      </w:r>
    </w:p>
    <w:p>
      <w:pPr>
        <w:ind w:firstLine="480" w:firstLineChars="200"/>
      </w:pPr>
      <w:r>
        <w:rPr>
          <w:rFonts w:hint="eastAsia"/>
        </w:rPr>
        <w:t>11、法规、规章、规范性文件中规定的由乙方承担的责任。</w:t>
      </w:r>
    </w:p>
    <w:p>
      <w:pPr>
        <w:ind w:firstLine="480" w:firstLineChars="200"/>
      </w:pPr>
      <w:r>
        <w:rPr>
          <w:rFonts w:hint="eastAsia"/>
        </w:rPr>
        <w:t>12、在物业管理服务过程中发生下列事由，乙方不承担责任。</w:t>
      </w:r>
    </w:p>
    <w:p>
      <w:pPr>
        <w:ind w:firstLine="480" w:firstLineChars="200"/>
      </w:pPr>
      <w:r>
        <w:rPr>
          <w:rFonts w:hint="eastAsia"/>
        </w:rPr>
        <w:t>（1）乙方已履行本合间约定义务，但因物业本身固有瑕疵或甲方未按乙方建议提供硬件配、物资、工具、材料的配置标准所造成损失的；</w:t>
      </w:r>
    </w:p>
    <w:p>
      <w:pPr>
        <w:ind w:firstLine="480" w:firstLineChars="200"/>
      </w:pPr>
      <w:r>
        <w:rPr>
          <w:rFonts w:hint="eastAsia"/>
        </w:rPr>
        <w:t>（2）因正常维修护养造成的停水、停电造成的设施设备损失的，但乙方应提前书面通知书甲方做好准备。</w:t>
      </w:r>
    </w:p>
    <w:p>
      <w:pPr>
        <w:ind w:firstLine="480" w:firstLineChars="200"/>
      </w:pPr>
      <w:r>
        <w:rPr>
          <w:rFonts w:hint="eastAsia"/>
        </w:rPr>
        <w:t>（3）因非乙方责任出现供水、供电、通讯，有线电视及其他共用设施设备运行障碍造成损失的。</w:t>
      </w:r>
    </w:p>
    <w:p>
      <w:pPr>
        <w:rPr>
          <w:b/>
          <w:bCs/>
        </w:rPr>
      </w:pPr>
      <w:r>
        <w:rPr>
          <w:rFonts w:hint="eastAsia"/>
          <w:b/>
          <w:bCs/>
        </w:rPr>
        <w:t>第七条</w:t>
      </w:r>
      <w:r>
        <w:rPr>
          <w:b/>
          <w:bCs/>
        </w:rPr>
        <w:t>：其他特殊条款（如保密条款、保险规定、知识产权条款、分包或者转包的规定等等）</w:t>
      </w:r>
    </w:p>
    <w:p>
      <w:r>
        <w:t xml:space="preserve"> </w:t>
      </w:r>
      <w:r>
        <w:rPr>
          <w:rFonts w:hint="eastAsia"/>
        </w:rPr>
        <w:t xml:space="preserve">   </w:t>
      </w:r>
      <w:r>
        <w:t>1、甲方办公场所，遵守甲方有关规定，应切实维护甲方利益，不得利用物业管理条件，窃取或泄露甲方业务经营管理、客户信息等商业秘密和大楼各项设施、办公安置等机密，若有违犯应承担有关经济赔偿和法律责任。</w:t>
      </w:r>
    </w:p>
    <w:p>
      <w:pPr>
        <w:ind w:firstLine="480" w:firstLineChars="200"/>
      </w:pPr>
      <w:r>
        <w:t>2甲方如提供给乙方有关大楼建筑图纸、设备设施资料等及乙方日常管理中获得的各类物业管理档案资料等，乙方必须做好保管保密工作，未经乙方同意不得泄露或提供任何方， 本合同终止时，必须全部移交给甲方。</w:t>
      </w:r>
    </w:p>
    <w:p>
      <w:pPr>
        <w:ind w:firstLine="480" w:firstLineChars="200"/>
      </w:pPr>
      <w:r>
        <w:rPr>
          <w:rFonts w:hint="eastAsia"/>
        </w:rPr>
        <w:t>3</w:t>
      </w:r>
      <w:r>
        <w:t>、乙方承诺遵守国家和地方劳动法律法规，履行与在甲方区域工作的人员签订书面劳动合同，购买社会保险，提供相应的劳动保护条件等义务。</w:t>
      </w:r>
    </w:p>
    <w:p>
      <w:pPr>
        <w:ind w:firstLine="480" w:firstLineChars="200"/>
      </w:pPr>
      <w:r>
        <w:rPr>
          <w:rFonts w:hint="eastAsia"/>
        </w:rPr>
        <w:t>4</w:t>
      </w:r>
      <w:r>
        <w:t>、 根据项目实际运作需要所交纳的第三方责任险、公众责任险、财产险等保险费用由甲方自行承担。</w:t>
      </w:r>
    </w:p>
    <w:p>
      <w:pPr>
        <w:ind w:firstLine="480" w:firstLineChars="200"/>
        <w:rPr>
          <w:b/>
          <w:bCs/>
        </w:rPr>
      </w:pPr>
      <w:r>
        <w:rPr>
          <w:rFonts w:hint="eastAsia"/>
        </w:rPr>
        <w:t>5、</w:t>
      </w:r>
      <w:r>
        <w:t>乙方在不经甲方允许前提下，一律不得将本项目转包或分包，一经发现，甲方有权利直接中止合同。</w:t>
      </w:r>
    </w:p>
    <w:p>
      <w:pPr>
        <w:rPr>
          <w:b/>
          <w:bCs/>
        </w:rPr>
      </w:pPr>
      <w:r>
        <w:rPr>
          <w:rFonts w:hint="eastAsia"/>
          <w:b/>
          <w:bCs/>
        </w:rPr>
        <w:t>第八条</w:t>
      </w:r>
      <w:r>
        <w:rPr>
          <w:b/>
          <w:bCs/>
        </w:rPr>
        <w:t>：合同解除和终止条款</w:t>
      </w:r>
    </w:p>
    <w:p>
      <w:pPr>
        <w:ind w:firstLine="480" w:firstLineChars="200"/>
      </w:pPr>
      <w:r>
        <w:t>1 、乙方未履行合同或履行合同义务不符合约定的，甲方有权要求乙方承担继续履行合同、采取补救措施或者赔偿损失等违约责任。</w:t>
      </w:r>
    </w:p>
    <w:p>
      <w:pPr>
        <w:ind w:firstLine="480" w:firstLineChars="200"/>
      </w:pPr>
      <w:r>
        <w:t>2、乙方未按照本合同约定的物业管理服务标准和要求，经甲方3次以上书面提出意见未及时整改落实，服务质量不能满足甲方要求或出现较大责任性问题或有严重损害甲方利益声誉等情况的，甲方有权单方面提前解除合同，造成甲方经济损失的，乙方应向甲方经济赔偿。</w:t>
      </w:r>
    </w:p>
    <w:p>
      <w:pPr>
        <w:ind w:firstLine="480" w:firstLineChars="200"/>
      </w:pPr>
      <w:r>
        <w:t>3、 乙方出现以下违约情况，甲方可扣除相应的履约保证金：</w:t>
      </w:r>
    </w:p>
    <w:p>
      <w:pPr>
        <w:ind w:firstLine="480" w:firstLineChars="200"/>
      </w:pPr>
      <w:r>
        <w:rPr>
          <w:rFonts w:hint="eastAsia"/>
        </w:rPr>
        <w:t>（</w:t>
      </w:r>
      <w:r>
        <w:t>1</w:t>
      </w:r>
      <w:r>
        <w:rPr>
          <w:rFonts w:hint="eastAsia"/>
        </w:rPr>
        <w:t>）</w:t>
      </w:r>
      <w:r>
        <w:t>因乙方人员工作失职渎职、人为损坏或窃取</w:t>
      </w:r>
      <w:r>
        <w:rPr>
          <w:rFonts w:hint="eastAsia"/>
        </w:rPr>
        <w:t>甲方</w:t>
      </w:r>
      <w:r>
        <w:t>财物及其他违纪违规行为，对甲方财产、设备、物品、安全和声普造成损害的，或者对第三方造成财产损失人员伤亡的，因甲方原因导致除外：</w:t>
      </w:r>
    </w:p>
    <w:p>
      <w:pPr>
        <w:ind w:firstLine="480" w:firstLineChars="200"/>
      </w:pPr>
      <w:r>
        <w:rPr>
          <w:rFonts w:hint="eastAsia"/>
        </w:rPr>
        <w:t>（</w:t>
      </w:r>
      <w:r>
        <w:t>2</w:t>
      </w:r>
      <w:r>
        <w:rPr>
          <w:rFonts w:hint="eastAsia"/>
        </w:rPr>
        <w:t>）</w:t>
      </w:r>
      <w:r>
        <w:t>水、电、消防等紧急事故未及时响应，如因使用和维修保养不当，造成大厦内有关设备、设施损坏的造成一定后果的：</w:t>
      </w:r>
    </w:p>
    <w:p>
      <w:pPr>
        <w:ind w:firstLine="480" w:firstLineChars="200"/>
      </w:pPr>
      <w:r>
        <w:rPr>
          <w:rFonts w:hint="eastAsia"/>
        </w:rPr>
        <w:t>（</w:t>
      </w:r>
      <w:r>
        <w:t>3</w:t>
      </w:r>
      <w:r>
        <w:rPr>
          <w:rFonts w:hint="eastAsia"/>
        </w:rPr>
        <w:t>）</w:t>
      </w:r>
      <w:r>
        <w:t>造成其他严重后果的。</w:t>
      </w:r>
    </w:p>
    <w:p>
      <w:pPr>
        <w:ind w:firstLine="480" w:firstLineChars="200"/>
      </w:pPr>
      <w:r>
        <w:t>4、甲乙双方任何一方无法律依据提前终止合同，必须支付对方一年总费用的20%作为违约金。</w:t>
      </w:r>
    </w:p>
    <w:p>
      <w:pPr>
        <w:ind w:firstLine="480" w:firstLineChars="200"/>
        <w:rPr>
          <w:b/>
          <w:bCs/>
        </w:rPr>
      </w:pPr>
      <w:r>
        <w:t>5、甲方无正当理由未按约定期限支付服务费的，除向乙方支付服务费外，按每日2‰标准支付违约金。</w:t>
      </w:r>
    </w:p>
    <w:p>
      <w:pPr>
        <w:rPr>
          <w:b/>
          <w:bCs/>
        </w:rPr>
      </w:pPr>
      <w:r>
        <w:rPr>
          <w:rFonts w:hint="eastAsia"/>
          <w:b/>
          <w:bCs/>
        </w:rPr>
        <w:t>第九条</w:t>
      </w:r>
      <w:r>
        <w:rPr>
          <w:b/>
          <w:bCs/>
        </w:rPr>
        <w:t>：考核条款</w:t>
      </w:r>
    </w:p>
    <w:p>
      <w:pPr>
        <w:ind w:firstLine="480" w:firstLineChars="200"/>
        <w:rPr>
          <w:b/>
          <w:bCs/>
        </w:rPr>
      </w:pPr>
      <w:r>
        <w:rPr>
          <w:rFonts w:hint="eastAsia"/>
        </w:rPr>
        <w:t>甲方根据工作需要和招标文件规定，设定物业管理考核要求，具体内容见附件1“考核标准及打分样表”。</w:t>
      </w:r>
    </w:p>
    <w:p>
      <w:pPr>
        <w:rPr>
          <w:b/>
          <w:bCs/>
        </w:rPr>
      </w:pPr>
      <w:r>
        <w:rPr>
          <w:rFonts w:hint="eastAsia"/>
          <w:b/>
          <w:bCs/>
        </w:rPr>
        <w:t>第十条</w:t>
      </w:r>
      <w:r>
        <w:rPr>
          <w:b/>
          <w:bCs/>
        </w:rPr>
        <w:t>：免责条款（关于不可抗力事件的约定）</w:t>
      </w:r>
    </w:p>
    <w:p>
      <w:pPr>
        <w:ind w:firstLine="480" w:firstLineChars="200"/>
      </w:pPr>
      <w:r>
        <w:t>1、在合同有效期内，任何一方因为不可抗力事件，如：停电、道路中断、战争、台风、洪水、地震等双方共同认为属于不可抗力且足以引起被迫停止或推迟合同执行的原因，则合同履行期可相应顺延，顺延的时间等于不可抗力事件发生作用的时间。</w:t>
      </w:r>
    </w:p>
    <w:p>
      <w:pPr>
        <w:ind w:firstLine="480" w:firstLineChars="200"/>
      </w:pPr>
      <w:r>
        <w:t>2、受影响的一方应将不可抗力事件的出现尽快通过电传或传真通知另一方。</w:t>
      </w:r>
    </w:p>
    <w:p>
      <w:pPr>
        <w:ind w:firstLine="480" w:firstLineChars="200"/>
      </w:pPr>
      <w:r>
        <w:t>3、受影响的一方应在不可抗力事件终止或被排除后尽快通过电传或传真通知另一方。如果不可抗力持续作用超过</w:t>
      </w:r>
      <w:r>
        <w:rPr>
          <w:u w:val="single"/>
        </w:rPr>
        <w:t xml:space="preserve">      </w:t>
      </w:r>
      <w:r>
        <w:t>，双方通过友好协商解决未来的合同履行问题。</w:t>
      </w:r>
    </w:p>
    <w:p>
      <w:pPr>
        <w:rPr>
          <w:b/>
          <w:bCs/>
        </w:rPr>
      </w:pPr>
      <w:r>
        <w:rPr>
          <w:rFonts w:hint="eastAsia"/>
          <w:b/>
          <w:bCs/>
        </w:rPr>
        <w:t>第十一条</w:t>
      </w:r>
      <w:r>
        <w:rPr>
          <w:b/>
          <w:bCs/>
        </w:rPr>
        <w:t>：管辖条款</w:t>
      </w:r>
    </w:p>
    <w:p>
      <w:pPr>
        <w:ind w:firstLine="480" w:firstLineChars="200"/>
      </w:pPr>
      <w:r>
        <w:t>有关本合同出现的任何争议应由甲乙双方友好协商。协议不成的，交由</w:t>
      </w:r>
      <w:r>
        <w:rPr>
          <w:u w:val="single"/>
        </w:rPr>
        <w:t xml:space="preserve">            </w:t>
      </w:r>
      <w:r>
        <w:t>裁决（或者向</w:t>
      </w:r>
      <w:r>
        <w:rPr>
          <w:u w:val="single"/>
        </w:rPr>
        <w:t xml:space="preserve">            </w:t>
      </w:r>
      <w:r>
        <w:t>所在地法院起诉）。</w:t>
      </w:r>
    </w:p>
    <w:p>
      <w:pPr>
        <w:rPr>
          <w:b/>
          <w:bCs/>
        </w:rPr>
      </w:pPr>
      <w:r>
        <w:rPr>
          <w:rFonts w:hint="eastAsia"/>
          <w:b/>
          <w:bCs/>
        </w:rPr>
        <w:t>第十二条</w:t>
      </w:r>
      <w:r>
        <w:rPr>
          <w:b/>
          <w:bCs/>
        </w:rPr>
        <w:t>：合同生效</w:t>
      </w:r>
    </w:p>
    <w:p>
      <w:pPr>
        <w:widowControl/>
        <w:overflowPunct w:val="0"/>
        <w:autoSpaceDE w:val="0"/>
        <w:autoSpaceDN w:val="0"/>
        <w:adjustRightInd w:val="0"/>
        <w:snapToGrid w:val="0"/>
        <w:ind w:firstLine="480" w:firstLineChars="200"/>
        <w:jc w:val="left"/>
        <w:textAlignment w:val="baseline"/>
        <w:rPr>
          <w:kern w:val="0"/>
        </w:rPr>
      </w:pPr>
      <w:r>
        <w:rPr>
          <w:kern w:val="0"/>
        </w:rPr>
        <w:t>1、采购文件、投标文件、更正公告、中标通知书、承诺函等均作为本合同组成部分，具有同等效力。</w:t>
      </w:r>
    </w:p>
    <w:p>
      <w:pPr>
        <w:widowControl/>
        <w:overflowPunct w:val="0"/>
        <w:autoSpaceDE w:val="0"/>
        <w:autoSpaceDN w:val="0"/>
        <w:adjustRightInd w:val="0"/>
        <w:snapToGrid w:val="0"/>
        <w:ind w:firstLine="480" w:firstLineChars="200"/>
        <w:jc w:val="left"/>
        <w:textAlignment w:val="baseline"/>
        <w:rPr>
          <w:kern w:val="0"/>
        </w:rPr>
      </w:pPr>
      <w:r>
        <w:rPr>
          <w:kern w:val="0"/>
        </w:rPr>
        <w:t>2、合同执行中涉及采购资金和采购内容修改或补充的，须经财政部门审批，并签书面补充协议报政府采购监督管理部门备案，作为主合同不可分割的一部分。</w:t>
      </w:r>
    </w:p>
    <w:p>
      <w:pPr>
        <w:widowControl/>
        <w:overflowPunct w:val="0"/>
        <w:autoSpaceDE w:val="0"/>
        <w:autoSpaceDN w:val="0"/>
        <w:adjustRightInd w:val="0"/>
        <w:snapToGrid w:val="0"/>
        <w:ind w:firstLine="480" w:firstLineChars="200"/>
        <w:jc w:val="left"/>
        <w:textAlignment w:val="baseline"/>
        <w:rPr>
          <w:kern w:val="0"/>
        </w:rPr>
      </w:pPr>
      <w:r>
        <w:rPr>
          <w:kern w:val="0"/>
        </w:rPr>
        <w:t>3、本合同未尽事宜，遵照《合同法》有关条文执行。</w:t>
      </w:r>
    </w:p>
    <w:p>
      <w:pPr>
        <w:widowControl/>
        <w:overflowPunct w:val="0"/>
        <w:autoSpaceDE w:val="0"/>
        <w:autoSpaceDN w:val="0"/>
        <w:adjustRightInd w:val="0"/>
        <w:snapToGrid w:val="0"/>
        <w:ind w:firstLine="480" w:firstLineChars="200"/>
        <w:jc w:val="left"/>
        <w:textAlignment w:val="baseline"/>
        <w:rPr>
          <w:kern w:val="0"/>
        </w:rPr>
      </w:pPr>
      <w:r>
        <w:rPr>
          <w:rFonts w:hint="eastAsia"/>
          <w:kern w:val="0"/>
        </w:rPr>
        <w:t>4</w:t>
      </w:r>
      <w:r>
        <w:rPr>
          <w:kern w:val="0"/>
        </w:rPr>
        <w:t>、本合同一式多份，具有同等法律效力，甲乙双方、</w:t>
      </w:r>
      <w:r>
        <w:rPr>
          <w:rFonts w:hint="eastAsia"/>
          <w:kern w:val="0"/>
        </w:rPr>
        <w:t>杭州市公共资源交易中心临平分中心</w:t>
      </w:r>
      <w:r>
        <w:rPr>
          <w:kern w:val="0"/>
        </w:rPr>
        <w:t>、区财政局采购监管科，各执一份。</w:t>
      </w:r>
    </w:p>
    <w:p>
      <w:pPr>
        <w:ind w:firstLine="360" w:firstLineChars="150"/>
        <w:jc w:val="left"/>
      </w:pPr>
    </w:p>
    <w:p>
      <w:pPr>
        <w:ind w:firstLine="360" w:firstLineChars="150"/>
        <w:jc w:val="left"/>
      </w:pPr>
      <w:r>
        <w:t xml:space="preserve"> 甲方（盖章）：                          乙方（盖章）：                 </w:t>
      </w:r>
    </w:p>
    <w:p>
      <w:pPr>
        <w:ind w:firstLine="480" w:firstLineChars="200"/>
        <w:jc w:val="left"/>
      </w:pPr>
      <w:r>
        <w:t xml:space="preserve">法定代表人：                           法定代表人：                </w:t>
      </w:r>
    </w:p>
    <w:p>
      <w:pPr>
        <w:ind w:firstLine="480" w:firstLineChars="200"/>
        <w:jc w:val="left"/>
      </w:pPr>
      <w:r>
        <w:t xml:space="preserve">或授权代表（签字）：                    或授权代表（签字）：           </w:t>
      </w:r>
    </w:p>
    <w:p>
      <w:pPr>
        <w:ind w:firstLine="480" w:firstLineChars="200"/>
        <w:jc w:val="left"/>
      </w:pPr>
      <w:r>
        <w:t xml:space="preserve">地址：                                 地址：    </w:t>
      </w:r>
    </w:p>
    <w:p>
      <w:pPr>
        <w:ind w:firstLine="480" w:firstLineChars="200"/>
        <w:jc w:val="left"/>
      </w:pPr>
      <w:r>
        <w:t xml:space="preserve">邮编：                                 邮编：                     </w:t>
      </w:r>
    </w:p>
    <w:p>
      <w:pPr>
        <w:ind w:firstLine="480" w:firstLineChars="200"/>
        <w:jc w:val="left"/>
      </w:pPr>
      <w:r>
        <w:t xml:space="preserve">电话：                                 电话：             </w:t>
      </w:r>
    </w:p>
    <w:p>
      <w:pPr>
        <w:ind w:firstLine="480" w:firstLineChars="200"/>
        <w:jc w:val="left"/>
      </w:pPr>
      <w:r>
        <w:t xml:space="preserve">传真：                                 传真：         </w:t>
      </w:r>
    </w:p>
    <w:p>
      <w:pPr>
        <w:ind w:firstLine="480" w:firstLineChars="200"/>
        <w:jc w:val="left"/>
      </w:pPr>
      <w:r>
        <w:t xml:space="preserve">开户银行：                             开户银行：    </w:t>
      </w:r>
    </w:p>
    <w:p>
      <w:pPr>
        <w:ind w:firstLine="480" w:firstLineChars="200"/>
        <w:jc w:val="left"/>
      </w:pPr>
      <w:r>
        <w:t xml:space="preserve">帐号：                                 帐号：     </w:t>
      </w:r>
    </w:p>
    <w:p>
      <w:pPr>
        <w:ind w:firstLine="480" w:firstLineChars="200"/>
        <w:jc w:val="left"/>
      </w:pPr>
    </w:p>
    <w:p>
      <w:pPr>
        <w:ind w:firstLine="480" w:firstLineChars="200"/>
        <w:jc w:val="left"/>
      </w:pPr>
    </w:p>
    <w:p>
      <w:pPr>
        <w:ind w:right="120"/>
        <w:jc w:val="right"/>
      </w:pPr>
      <w:r>
        <w:t>签约时间：      年    月   日</w:t>
      </w:r>
    </w:p>
    <w:p>
      <w:pPr>
        <w:jc w:val="right"/>
      </w:pPr>
      <w:r>
        <w:t xml:space="preserve">签约地点：                    </w:t>
      </w:r>
    </w:p>
    <w:p>
      <w:pPr>
        <w:pStyle w:val="9"/>
        <w:snapToGrid w:val="0"/>
        <w:jc w:val="right"/>
      </w:pPr>
      <w:bookmarkStart w:id="36" w:name="_Toc326765771"/>
      <w:bookmarkStart w:id="37" w:name="_Toc349721554"/>
      <w:bookmarkStart w:id="38" w:name="_Toc350327365"/>
      <w:bookmarkStart w:id="39" w:name="_Toc328381300"/>
      <w:bookmarkStart w:id="40" w:name="_Toc339872468"/>
      <w:r>
        <w:rPr>
          <w:rFonts w:hint="eastAsia" w:hAnsi="宋体" w:cs="宋体"/>
          <w:szCs w:val="24"/>
        </w:rPr>
        <w:t>★</w:t>
      </w:r>
      <w:r>
        <w:rPr>
          <w:rFonts w:ascii="Times New Roman" w:hAnsi="Times New Roman"/>
          <w:szCs w:val="24"/>
        </w:rPr>
        <w:t xml:space="preserve"> 此仅为合同书样本，中标单位需根据实际情况和采购人签订相应的合同！</w:t>
      </w:r>
      <w:bookmarkEnd w:id="36"/>
      <w:bookmarkEnd w:id="37"/>
      <w:bookmarkEnd w:id="38"/>
      <w:bookmarkEnd w:id="39"/>
      <w:bookmarkEnd w:id="40"/>
      <w:r>
        <w:br w:type="page"/>
      </w:r>
    </w:p>
    <w:p/>
    <w:bookmarkEnd w:id="35"/>
    <w:p>
      <w:pPr>
        <w:pStyle w:val="2"/>
        <w:rPr>
          <w:color w:val="auto"/>
        </w:rPr>
      </w:pPr>
      <w:bookmarkStart w:id="41" w:name="_Toc63585693"/>
      <w:bookmarkStart w:id="42" w:name="_Toc63585251"/>
      <w:bookmarkStart w:id="43" w:name="_Toc66264908"/>
      <w:r>
        <w:rPr>
          <w:color w:val="auto"/>
        </w:rPr>
        <w:t>第六章</w:t>
      </w:r>
      <w:r>
        <w:rPr>
          <w:rFonts w:hint="eastAsia"/>
          <w:color w:val="auto"/>
        </w:rPr>
        <w:t xml:space="preserve">  </w:t>
      </w:r>
      <w:r>
        <w:rPr>
          <w:color w:val="auto"/>
        </w:rPr>
        <w:t>投标文件格式</w:t>
      </w:r>
      <w:bookmarkEnd w:id="41"/>
      <w:bookmarkEnd w:id="42"/>
      <w:bookmarkEnd w:id="43"/>
    </w:p>
    <w:p>
      <w:pPr>
        <w:pStyle w:val="17"/>
        <w:rPr>
          <w:sz w:val="30"/>
          <w:szCs w:val="30"/>
        </w:rPr>
      </w:pPr>
      <w:bookmarkStart w:id="44" w:name="_Toc63585252"/>
      <w:bookmarkStart w:id="45" w:name="_Toc63585694"/>
      <w:bookmarkStart w:id="46" w:name="_Toc63585740"/>
      <w:bookmarkStart w:id="47" w:name="_Toc66264909"/>
      <w:r>
        <w:t>1、资质文件目录</w:t>
      </w:r>
      <w:bookmarkEnd w:id="44"/>
      <w:bookmarkEnd w:id="45"/>
      <w:bookmarkEnd w:id="46"/>
      <w:bookmarkEnd w:id="47"/>
    </w:p>
    <w:p>
      <w:r>
        <w:t xml:space="preserve">   （1）投标声明书 （格式见附件，含重大违法记录声明）；</w:t>
      </w:r>
    </w:p>
    <w:p>
      <w:r>
        <w:t xml:space="preserve">   （2）法定代表人授权委托书（</w:t>
      </w:r>
      <w:r>
        <w:rPr>
          <w:kern w:val="0"/>
          <w:shd w:val="clear" w:color="auto" w:fill="FFFFFF"/>
        </w:rPr>
        <w:t>联合投标授权委托书</w:t>
      </w:r>
      <w:r>
        <w:t>）（格式见附件）；</w:t>
      </w:r>
    </w:p>
    <w:p>
      <w:r>
        <w:t xml:space="preserve">   （3）提供有效的依法缴纳税收证明（完税凭证或税务部门出具的证明）；</w:t>
      </w:r>
    </w:p>
    <w:p>
      <w:r>
        <w:t xml:space="preserve">   （4）营业执照（或事业单位法人登记证书或其他工商等登记证明材料）复印件；</w:t>
      </w:r>
    </w:p>
    <w:p>
      <w:r>
        <w:t xml:space="preserve">   （5）组织机构代码证、社保登记证（或供应商一年内缴纳过的社保缴纳花名册）、税务登记证复印件。（招标文件另有规定除外）；</w:t>
      </w:r>
    </w:p>
    <w:p>
      <w:r>
        <w:t xml:space="preserve">   （6）金融、保险、通讯等特定行业的全国性企业所设立的区域性分支机构，以及个体工商户、个人独资企业、合伙企业独立参加政府采购活动时还须提供：总公司（总机构）授权原件（格式见附件）或房产权证（复印件）或其他有效财产证明材料（复印件）；</w:t>
      </w:r>
    </w:p>
    <w:p>
      <w:r>
        <w:t xml:space="preserve">   （7）提供采购公告中符合投标人特定条件要求的有效的其他资质复印件并加盖公司公章及需要说明的资料；</w:t>
      </w:r>
    </w:p>
    <w:p>
      <w:pPr>
        <w:ind w:firstLine="360" w:firstLineChars="150"/>
      </w:pPr>
      <w:r>
        <w:t>（8）</w:t>
      </w:r>
      <w:r>
        <w:rPr>
          <w:kern w:val="0"/>
          <w:shd w:val="clear" w:color="auto" w:fill="FFFFFF"/>
        </w:rPr>
        <w:t>联合投标协议书</w:t>
      </w:r>
      <w:r>
        <w:t>（格式见附件）；</w:t>
      </w:r>
    </w:p>
    <w:p>
      <w:pPr>
        <w:ind w:firstLine="360" w:firstLineChars="150"/>
        <w:rPr>
          <w:spacing w:val="-6"/>
        </w:rPr>
      </w:pPr>
      <w:r>
        <w:rPr>
          <w:kern w:val="0"/>
          <w:shd w:val="clear" w:color="auto" w:fill="FFFFFF"/>
        </w:rPr>
        <w:t>（9）</w:t>
      </w:r>
      <w:r>
        <w:rPr>
          <w:spacing w:val="-6"/>
        </w:rPr>
        <w:t>无失信行为承诺书。</w:t>
      </w:r>
    </w:p>
    <w:p>
      <w:pPr>
        <w:rPr>
          <w:kern w:val="0"/>
          <w:sz w:val="30"/>
          <w:szCs w:val="30"/>
          <w:shd w:val="clear" w:color="auto" w:fill="FFFFFF"/>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pStyle w:val="9"/>
        <w:snapToGrid w:val="0"/>
        <w:spacing w:before="120" w:after="120"/>
        <w:rPr>
          <w:rFonts w:ascii="Times New Roman" w:hAnsi="Times New Roman"/>
          <w:sz w:val="30"/>
          <w:szCs w:val="30"/>
        </w:rPr>
      </w:pPr>
    </w:p>
    <w:p>
      <w:pPr>
        <w:pStyle w:val="9"/>
        <w:snapToGrid w:val="0"/>
        <w:spacing w:before="120" w:after="120"/>
        <w:rPr>
          <w:rFonts w:ascii="Times New Roman" w:hAnsi="Times New Roman"/>
          <w:sz w:val="30"/>
          <w:szCs w:val="30"/>
        </w:rPr>
      </w:pPr>
    </w:p>
    <w:p>
      <w:pPr>
        <w:snapToGrid w:val="0"/>
        <w:spacing w:after="156" w:afterLines="50"/>
        <w:jc w:val="left"/>
        <w:rPr>
          <w:sz w:val="30"/>
          <w:szCs w:val="30"/>
        </w:rPr>
      </w:pPr>
      <w:r>
        <w:rPr>
          <w:sz w:val="30"/>
          <w:szCs w:val="30"/>
        </w:rPr>
        <w:br w:type="page"/>
      </w:r>
      <w:r>
        <w:rPr>
          <w:sz w:val="30"/>
          <w:szCs w:val="30"/>
        </w:rPr>
        <w:t>附件1：</w:t>
      </w:r>
    </w:p>
    <w:p>
      <w:pPr>
        <w:snapToGrid w:val="0"/>
        <w:jc w:val="center"/>
        <w:rPr>
          <w:b/>
          <w:sz w:val="28"/>
        </w:rPr>
      </w:pPr>
      <w:r>
        <w:rPr>
          <w:b/>
          <w:sz w:val="28"/>
        </w:rPr>
        <w:t>投 标 声 明 书</w:t>
      </w:r>
    </w:p>
    <w:p>
      <w:pPr>
        <w:jc w:val="center"/>
        <w:rPr>
          <w:b/>
          <w:bCs/>
        </w:rPr>
      </w:pPr>
    </w:p>
    <w:p>
      <w:pPr>
        <w:rPr>
          <w:b/>
        </w:rPr>
      </w:pPr>
      <w:r>
        <w:rPr>
          <w:b/>
        </w:rPr>
        <w:t>杭州市公共资源交易中心临平分中心：</w:t>
      </w:r>
    </w:p>
    <w:p>
      <w:pPr>
        <w:snapToGrid w:val="0"/>
        <w:spacing w:before="156" w:beforeLines="50"/>
        <w:ind w:firstLine="480" w:firstLineChars="200"/>
      </w:pPr>
      <w:r>
        <w:t xml:space="preserve"> </w:t>
      </w:r>
      <w:r>
        <w:rPr>
          <w:u w:val="single"/>
        </w:rPr>
        <w:t>（投标人名称）</w:t>
      </w:r>
      <w:r>
        <w:t>系中华人民共和国合法企业，经营地址：</w:t>
      </w:r>
      <w:r>
        <w:rPr>
          <w:u w:val="single"/>
        </w:rPr>
        <w:t xml:space="preserve">         </w:t>
      </w:r>
    </w:p>
    <w:p>
      <w:pPr>
        <w:snapToGrid w:val="0"/>
        <w:spacing w:before="156" w:beforeLines="50"/>
      </w:pPr>
      <w:r>
        <w:t>我</w:t>
      </w:r>
      <w:r>
        <w:rPr>
          <w:u w:val="single"/>
        </w:rPr>
        <w:t>（姓名）</w:t>
      </w:r>
      <w:r>
        <w:t>系</w:t>
      </w:r>
      <w:r>
        <w:rPr>
          <w:u w:val="single"/>
        </w:rPr>
        <w:t>（投标人名称）</w:t>
      </w:r>
      <w:r>
        <w:t>的法定代表人，我方愿意参加贵方组织的</w:t>
      </w:r>
      <w:r>
        <w:rPr>
          <w:u w:val="single"/>
        </w:rPr>
        <w:t>（招标项目名称）（编号为HZLPZFCG-20 -  ）标项___</w:t>
      </w:r>
      <w:r>
        <w:t>的投标，为此，我方就本次投标有关事项郑重声明如下：</w:t>
      </w:r>
    </w:p>
    <w:p>
      <w:pPr>
        <w:adjustRightInd w:val="0"/>
        <w:snapToGrid w:val="0"/>
        <w:ind w:firstLine="480" w:firstLineChars="200"/>
      </w:pPr>
      <w:r>
        <w:t>1、我方承诺已经具备《中华人民共和国政府采购法》第二十二条中规定的参加政府采购活动的投标人应当具备的条件：</w:t>
      </w:r>
    </w:p>
    <w:p>
      <w:pPr>
        <w:adjustRightInd w:val="0"/>
        <w:snapToGrid w:val="0"/>
        <w:ind w:firstLine="240" w:firstLineChars="100"/>
      </w:pPr>
      <w:r>
        <w:t>（1）具有独立承担民事责任的能力；</w:t>
      </w:r>
    </w:p>
    <w:p>
      <w:pPr>
        <w:adjustRightInd w:val="0"/>
        <w:snapToGrid w:val="0"/>
        <w:ind w:firstLine="240" w:firstLineChars="100"/>
      </w:pPr>
      <w:r>
        <w:t>（2）具有良好的商业信誉和健全的财务会计制度；</w:t>
      </w:r>
    </w:p>
    <w:p>
      <w:pPr>
        <w:adjustRightInd w:val="0"/>
        <w:snapToGrid w:val="0"/>
        <w:ind w:firstLine="240" w:firstLineChars="100"/>
      </w:pPr>
      <w:r>
        <w:t>（3）具有履行合同所必需的设备和专业技术能力；</w:t>
      </w:r>
    </w:p>
    <w:p>
      <w:pPr>
        <w:adjustRightInd w:val="0"/>
        <w:snapToGrid w:val="0"/>
        <w:ind w:firstLine="240" w:firstLineChars="100"/>
      </w:pPr>
      <w:r>
        <w:t>（4）有依法缴纳税收和社会保障资金的良好记录；</w:t>
      </w:r>
    </w:p>
    <w:p>
      <w:pPr>
        <w:adjustRightInd w:val="0"/>
        <w:snapToGrid w:val="0"/>
        <w:ind w:firstLine="240" w:firstLineChars="100"/>
      </w:pPr>
      <w:r>
        <w:t>（5）参加政府采购活动前三年内，在经营活动中没有重大违法记录；</w:t>
      </w:r>
    </w:p>
    <w:p>
      <w:pPr>
        <w:adjustRightInd w:val="0"/>
        <w:snapToGrid w:val="0"/>
        <w:ind w:firstLine="240" w:firstLineChars="100"/>
      </w:pPr>
      <w:r>
        <w:t>（6）法律、行政法规规定的其他条件。</w:t>
      </w:r>
    </w:p>
    <w:p>
      <w:pPr>
        <w:adjustRightInd w:val="0"/>
        <w:snapToGrid w:val="0"/>
        <w:ind w:firstLine="480" w:firstLineChars="200"/>
      </w:pPr>
      <w:r>
        <w:t>2、本投标有效期自投标文件合格递交之日起</w:t>
      </w:r>
      <w:r>
        <w:rPr>
          <w:b/>
          <w:u w:val="thick"/>
        </w:rPr>
        <w:t xml:space="preserve"> 90日</w:t>
      </w:r>
      <w:r>
        <w:t>。</w:t>
      </w:r>
    </w:p>
    <w:p>
      <w:pPr>
        <w:adjustRightInd w:val="0"/>
        <w:snapToGrid w:val="0"/>
        <w:ind w:firstLine="480" w:firstLineChars="200"/>
      </w:pPr>
      <w:r>
        <w:t>3、如我方中标，本投标文件至本项目合同履行完毕止均保持有效，我方将按招标文件及政府采购法律、法规的规定履行合同责任和义务。</w:t>
      </w:r>
    </w:p>
    <w:p>
      <w:pPr>
        <w:adjustRightInd w:val="0"/>
        <w:snapToGrid w:val="0"/>
        <w:ind w:firstLine="480" w:firstLineChars="200"/>
      </w:pPr>
      <w:r>
        <w:t>4、我方完全理解贵方不一定要接受最低价的投标。</w:t>
      </w:r>
    </w:p>
    <w:p>
      <w:pPr>
        <w:adjustRightInd w:val="0"/>
        <w:snapToGrid w:val="0"/>
        <w:ind w:firstLine="480" w:firstLineChars="200"/>
      </w:pPr>
      <w:r>
        <w:t>5、我方同意按照贵方要求提供与投标有关的一切数据或资料，配合招标采购单位进行评标、验收等与本次采购相关工作。</w:t>
      </w:r>
    </w:p>
    <w:p>
      <w:pPr>
        <w:adjustRightInd w:val="0"/>
        <w:snapToGrid w:val="0"/>
        <w:ind w:firstLine="480" w:firstLineChars="200"/>
      </w:pPr>
      <w:r>
        <w:t>6、我方在投标之前已经与贵方进行了充分的沟通，完全理解并接受招标文件的各项规定和要求，对招标文件的合理性、合法性不再有异议。并保证遵守采购文件中的有关规定。</w:t>
      </w:r>
    </w:p>
    <w:p>
      <w:pPr>
        <w:adjustRightInd w:val="0"/>
        <w:snapToGrid w:val="0"/>
        <w:ind w:firstLine="480" w:firstLineChars="200"/>
      </w:pPr>
      <w:r>
        <w:t>7、我方已详细审查全部招标文件，包括更正通知（如有的话）以及全部参考资料和有关附件，已经了解我方对于招标文件、采购过程、采购结果有依法进行询问、质疑、投诉的权利及相关渠道和要求。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ind w:firstLine="480" w:firstLineChars="200"/>
      </w:pPr>
      <w:r>
        <w:t>8、我方向贵方提交的所有投标文件、资料都是准确的和真实的。</w:t>
      </w:r>
    </w:p>
    <w:p>
      <w:pPr>
        <w:adjustRightInd w:val="0"/>
        <w:snapToGrid w:val="0"/>
        <w:ind w:firstLine="480" w:firstLineChars="200"/>
      </w:pPr>
      <w:r>
        <w:t>9、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ind w:firstLine="361" w:firstLineChars="150"/>
        <w:rPr>
          <w:b/>
          <w:bCs/>
        </w:rPr>
      </w:pPr>
      <w:r>
        <w:rPr>
          <w:b/>
          <w:bCs/>
        </w:rPr>
        <w:t>（1）提供虚假材料谋取中标、成交的；</w:t>
      </w:r>
    </w:p>
    <w:p>
      <w:pPr>
        <w:adjustRightInd w:val="0"/>
        <w:snapToGrid w:val="0"/>
        <w:ind w:firstLine="360" w:firstLineChars="150"/>
      </w:pPr>
      <w:r>
        <w:t>（2）采取不正当手段诋毁、排挤其他供应商的；</w:t>
      </w:r>
    </w:p>
    <w:p>
      <w:pPr>
        <w:adjustRightInd w:val="0"/>
        <w:snapToGrid w:val="0"/>
        <w:ind w:firstLine="360" w:firstLineChars="150"/>
      </w:pPr>
      <w:r>
        <w:t>（3）与采购人、其他供应商或者采购代理机构恶意串通的；</w:t>
      </w:r>
    </w:p>
    <w:p>
      <w:pPr>
        <w:adjustRightInd w:val="0"/>
        <w:snapToGrid w:val="0"/>
        <w:ind w:firstLine="360" w:firstLineChars="150"/>
      </w:pPr>
      <w:r>
        <w:t>（4）向采购人、采购代理机构行贿或者提供其他不正当利益的；</w:t>
      </w:r>
    </w:p>
    <w:p>
      <w:pPr>
        <w:adjustRightInd w:val="0"/>
        <w:snapToGrid w:val="0"/>
        <w:ind w:firstLine="360" w:firstLineChars="150"/>
      </w:pPr>
      <w:r>
        <w:t>（5）在招标采购过程中与采购人进行协商谈判的；</w:t>
      </w:r>
    </w:p>
    <w:p>
      <w:pPr>
        <w:adjustRightInd w:val="0"/>
        <w:snapToGrid w:val="0"/>
        <w:ind w:firstLine="360" w:firstLineChars="150"/>
      </w:pPr>
      <w:r>
        <w:t>（6）拒绝有关部门监督检查或者提供虚假情况的。</w:t>
      </w:r>
    </w:p>
    <w:p>
      <w:pPr>
        <w:adjustRightInd w:val="0"/>
        <w:snapToGrid w:val="0"/>
        <w:ind w:firstLine="480" w:firstLineChars="200"/>
      </w:pPr>
      <w:r>
        <w:t>供应商有前款第（1）至（5）项情形之一的，中标、成交无效。</w:t>
      </w:r>
    </w:p>
    <w:p>
      <w:pPr>
        <w:snapToGrid w:val="0"/>
        <w:spacing w:before="156" w:beforeLines="50"/>
        <w:ind w:right="600" w:firstLine="120" w:firstLineChars="50"/>
      </w:pPr>
    </w:p>
    <w:p>
      <w:pPr>
        <w:snapToGrid w:val="0"/>
        <w:spacing w:before="156" w:beforeLines="50"/>
        <w:ind w:right="600" w:firstLine="120" w:firstLineChars="50"/>
        <w:rPr>
          <w:u w:val="single"/>
        </w:rPr>
      </w:pPr>
      <w:r>
        <w:t>法定代表人签字：          日 期：</w:t>
      </w:r>
    </w:p>
    <w:p>
      <w:pPr>
        <w:snapToGrid w:val="0"/>
        <w:spacing w:before="156" w:beforeLines="50"/>
        <w:ind w:firstLine="120" w:firstLineChars="50"/>
      </w:pPr>
    </w:p>
    <w:p>
      <w:pPr>
        <w:snapToGrid w:val="0"/>
        <w:spacing w:before="156" w:beforeLines="50"/>
        <w:ind w:firstLine="120" w:firstLineChars="50"/>
      </w:pPr>
      <w:r>
        <w:t>投标人（公章）：</w:t>
      </w:r>
    </w:p>
    <w:p>
      <w:pPr>
        <w:snapToGrid w:val="0"/>
        <w:spacing w:before="156" w:beforeLines="50"/>
        <w:rPr>
          <w:sz w:val="30"/>
          <w:szCs w:val="30"/>
        </w:rPr>
      </w:pPr>
    </w:p>
    <w:p>
      <w:pPr>
        <w:snapToGrid w:val="0"/>
        <w:spacing w:before="156" w:beforeLines="50"/>
        <w:rPr>
          <w:sz w:val="32"/>
          <w:szCs w:val="32"/>
        </w:rPr>
      </w:pPr>
      <w:r>
        <w:rPr>
          <w:sz w:val="32"/>
          <w:szCs w:val="32"/>
        </w:rPr>
        <w:br w:type="page"/>
      </w:r>
      <w:r>
        <w:rPr>
          <w:sz w:val="32"/>
          <w:szCs w:val="32"/>
        </w:rPr>
        <w:t>附件2：</w:t>
      </w:r>
    </w:p>
    <w:p>
      <w:pPr>
        <w:autoSpaceDE w:val="0"/>
        <w:autoSpaceDN w:val="0"/>
        <w:adjustRightInd w:val="0"/>
        <w:jc w:val="center"/>
        <w:rPr>
          <w:b/>
          <w:sz w:val="28"/>
          <w:szCs w:val="28"/>
        </w:rPr>
      </w:pPr>
      <w:r>
        <w:rPr>
          <w:b/>
          <w:kern w:val="0"/>
          <w:sz w:val="28"/>
          <w:szCs w:val="28"/>
        </w:rPr>
        <w:t>法定代表人</w:t>
      </w:r>
      <w:r>
        <w:rPr>
          <w:b/>
          <w:sz w:val="28"/>
          <w:szCs w:val="28"/>
        </w:rPr>
        <w:t>授权委托书</w:t>
      </w:r>
    </w:p>
    <w:p>
      <w:pPr>
        <w:autoSpaceDE w:val="0"/>
        <w:autoSpaceDN w:val="0"/>
        <w:adjustRightInd w:val="0"/>
        <w:jc w:val="center"/>
        <w:rPr>
          <w:b/>
          <w:sz w:val="32"/>
          <w:szCs w:val="32"/>
        </w:rPr>
      </w:pPr>
    </w:p>
    <w:p>
      <w:pPr>
        <w:rPr>
          <w:b/>
        </w:rPr>
      </w:pPr>
      <w:r>
        <w:rPr>
          <w:b/>
        </w:rPr>
        <w:t>杭州市公共资源交易中心临平分中心：</w:t>
      </w:r>
    </w:p>
    <w:p>
      <w:pPr>
        <w:rPr>
          <w:b/>
        </w:rPr>
      </w:pPr>
    </w:p>
    <w:p>
      <w:pPr>
        <w:ind w:firstLine="480" w:firstLineChars="200"/>
      </w:pPr>
      <w:r>
        <w:t>兹委派我单位</w:t>
      </w:r>
      <w:r>
        <w:rPr>
          <w:u w:val="single"/>
        </w:rPr>
        <w:t xml:space="preserve">                </w:t>
      </w:r>
      <w:r>
        <w:t>先生/女士（其在本单位的职务是：</w:t>
      </w:r>
      <w:r>
        <w:rPr>
          <w:u w:val="single"/>
        </w:rPr>
        <w:t xml:space="preserve">        </w:t>
      </w:r>
      <w:r>
        <w:t>，联系电话：</w:t>
      </w:r>
      <w:r>
        <w:rPr>
          <w:u w:val="single"/>
        </w:rPr>
        <w:t xml:space="preserve">         </w:t>
      </w:r>
      <w:r>
        <w:t>，手机：</w:t>
      </w:r>
      <w:r>
        <w:rPr>
          <w:u w:val="single"/>
        </w:rPr>
        <w:t xml:space="preserve">           </w:t>
      </w:r>
      <w:r>
        <w:t>，传真：</w:t>
      </w:r>
      <w:r>
        <w:rPr>
          <w:u w:val="single"/>
        </w:rPr>
        <w:t xml:space="preserve">           </w:t>
      </w:r>
      <w:r>
        <w:t>，身份证号：</w:t>
      </w:r>
      <w:r>
        <w:rPr>
          <w:u w:val="single"/>
        </w:rPr>
        <w:t xml:space="preserve">                </w:t>
      </w:r>
      <w:r>
        <w:t>）代表我单位全权处理</w:t>
      </w:r>
      <w:r>
        <w:rPr>
          <w:u w:val="single"/>
        </w:rPr>
        <w:t xml:space="preserve">                   </w:t>
      </w:r>
      <w:r>
        <w:t>项目（项目编号：HZLPZFCG-20  -   ）标项</w:t>
      </w:r>
      <w:r>
        <w:rPr>
          <w:u w:val="single"/>
        </w:rPr>
        <w:t xml:space="preserve">   </w:t>
      </w:r>
      <w:r>
        <w:t>的一切事项，若中标则全权代表本单位签订合同，并负责处理合同履行等事宜。</w:t>
      </w:r>
    </w:p>
    <w:p>
      <w:pPr>
        <w:ind w:firstLine="480" w:firstLineChars="200"/>
      </w:pPr>
      <w:r>
        <w:t>在撤销授权的书面通知以前，本授权书一直有效。授权代表在授权书有效期内签署的所有文件不因授权的撤销而失效。</w:t>
      </w:r>
    </w:p>
    <w:p>
      <w:pPr>
        <w:ind w:firstLine="480" w:firstLineChars="200"/>
      </w:pPr>
      <w:r>
        <w:t>授权代表无转委托权，特此委托。</w:t>
      </w:r>
    </w:p>
    <w:p>
      <w:pPr>
        <w:ind w:firstLine="480" w:firstLineChars="200"/>
      </w:pPr>
      <w:r>
        <w:t>特此告知。</w:t>
      </w:r>
    </w:p>
    <w:p/>
    <w:p>
      <w:r>
        <w:t xml:space="preserve">法定代表人（签字）：         授权代表（签字）：           </w:t>
      </w:r>
    </w:p>
    <w:p>
      <w:r>
        <w:t xml:space="preserve">                      </w:t>
      </w:r>
    </w:p>
    <w:p>
      <w:r>
        <w:t>身份证号码：                身份证号码：</w:t>
      </w:r>
    </w:p>
    <w:p>
      <w:r>
        <w:t xml:space="preserve">                               </w:t>
      </w:r>
    </w:p>
    <w:p>
      <w:pPr>
        <w:ind w:firstLine="480" w:firstLineChars="200"/>
      </w:pPr>
      <w:r>
        <w:t xml:space="preserve">                                      </w:t>
      </w:r>
    </w:p>
    <w:p>
      <w:pPr>
        <w:rPr>
          <w:b/>
        </w:rPr>
      </w:pPr>
      <w:r>
        <w:rPr>
          <w:b/>
        </w:rPr>
        <w:t>法定代表人和授权代表的身份证正反面复印件、授权代表在本单位社保缴纳证明（加盖社保部门公章）附后。</w:t>
      </w:r>
    </w:p>
    <w:p>
      <w:pPr>
        <w:ind w:firstLine="480" w:firstLineChars="200"/>
      </w:pPr>
    </w:p>
    <w:p>
      <w:pPr>
        <w:autoSpaceDE w:val="0"/>
        <w:autoSpaceDN w:val="0"/>
        <w:adjustRightInd w:val="0"/>
        <w:ind w:right="480"/>
        <w:rPr>
          <w:kern w:val="0"/>
          <w:lang w:val="zh-CN"/>
        </w:rPr>
      </w:pPr>
      <w:r>
        <w:rPr>
          <w:kern w:val="0"/>
          <w:lang w:val="zh-CN"/>
        </w:rPr>
        <w:t xml:space="preserve">投标人（公章）：     </w:t>
      </w:r>
    </w:p>
    <w:p>
      <w:pPr>
        <w:snapToGrid w:val="0"/>
        <w:spacing w:before="156" w:beforeLines="50"/>
        <w:rPr>
          <w:kern w:val="0"/>
          <w:lang w:val="zh-CN"/>
        </w:rPr>
      </w:pPr>
      <w:r>
        <w:rPr>
          <w:kern w:val="0"/>
          <w:lang w:val="zh-CN"/>
        </w:rPr>
        <w:t xml:space="preserve">                       </w:t>
      </w:r>
      <w:r>
        <w:t>授权委托日期</w:t>
      </w:r>
      <w:r>
        <w:rPr>
          <w:kern w:val="0"/>
          <w:lang w:val="zh-CN"/>
        </w:rPr>
        <w:t>：20  年  月   日</w:t>
      </w:r>
    </w:p>
    <w:p>
      <w:pPr>
        <w:snapToGrid w:val="0"/>
        <w:spacing w:before="156" w:beforeLines="50"/>
      </w:pPr>
    </w:p>
    <w:p>
      <w:pPr>
        <w:snapToGrid w:val="0"/>
        <w:spacing w:before="156" w:beforeLines="50"/>
        <w:rPr>
          <w:sz w:val="32"/>
          <w:szCs w:val="32"/>
        </w:rPr>
      </w:pPr>
    </w:p>
    <w:p>
      <w:pPr>
        <w:snapToGrid w:val="0"/>
        <w:spacing w:before="156" w:beforeLines="50"/>
        <w:rPr>
          <w:sz w:val="32"/>
          <w:szCs w:val="32"/>
        </w:rPr>
      </w:pPr>
      <w:r>
        <w:rPr>
          <w:sz w:val="32"/>
          <w:szCs w:val="32"/>
        </w:rPr>
        <w:br w:type="page"/>
      </w:r>
    </w:p>
    <w:p>
      <w:pPr>
        <w:snapToGrid w:val="0"/>
        <w:spacing w:before="156" w:beforeLines="50"/>
        <w:rPr>
          <w:kern w:val="0"/>
          <w:sz w:val="32"/>
          <w:szCs w:val="32"/>
        </w:rPr>
      </w:pPr>
      <w:r>
        <w:rPr>
          <w:sz w:val="32"/>
          <w:szCs w:val="32"/>
        </w:rPr>
        <w:t>附件3：</w:t>
      </w:r>
    </w:p>
    <w:p>
      <w:pPr>
        <w:widowControl/>
        <w:ind w:firstLine="663"/>
        <w:jc w:val="center"/>
        <w:rPr>
          <w:sz w:val="28"/>
        </w:rPr>
      </w:pPr>
      <w:r>
        <w:rPr>
          <w:b/>
          <w:kern w:val="0"/>
          <w:sz w:val="28"/>
          <w:shd w:val="clear" w:color="auto" w:fill="FFFFFF"/>
        </w:rPr>
        <w:t>联合投标授权委托书</w:t>
      </w:r>
    </w:p>
    <w:p>
      <w:pPr>
        <w:rPr>
          <w:b/>
        </w:rPr>
      </w:pPr>
      <w:r>
        <w:rPr>
          <w:b/>
        </w:rPr>
        <w:t>杭州市公共资源交易中心临平分中心：</w:t>
      </w:r>
    </w:p>
    <w:p>
      <w:pPr>
        <w:rPr>
          <w:kern w:val="0"/>
          <w:shd w:val="clear" w:color="auto" w:fill="FFFFFF"/>
        </w:rPr>
      </w:pPr>
    </w:p>
    <w:p>
      <w:r>
        <w:rPr>
          <w:kern w:val="0"/>
          <w:shd w:val="clear" w:color="auto" w:fill="FFFFFF"/>
        </w:rPr>
        <w:t xml:space="preserve">    本授权委托书声明：根据</w:t>
      </w:r>
      <w:r>
        <w:rPr>
          <w:kern w:val="0"/>
          <w:u w:val="single"/>
          <w:shd w:val="clear" w:color="auto" w:fill="FFFFFF"/>
        </w:rPr>
        <w:t>甲单位（主办人）</w:t>
      </w:r>
      <w:r>
        <w:rPr>
          <w:kern w:val="0"/>
          <w:shd w:val="clear" w:color="auto" w:fill="FFFFFF"/>
        </w:rPr>
        <w:t>与</w:t>
      </w:r>
      <w:r>
        <w:rPr>
          <w:kern w:val="0"/>
          <w:u w:val="single"/>
          <w:shd w:val="clear" w:color="auto" w:fill="FFFFFF"/>
        </w:rPr>
        <w:t>乙单位</w:t>
      </w:r>
      <w:r>
        <w:rPr>
          <w:kern w:val="0"/>
          <w:shd w:val="clear" w:color="auto" w:fill="FFFFFF"/>
        </w:rPr>
        <w:t>（如果有的话，可按甲、乙、丙、丁...序列增加）签订的《联合投标协议书》的内容，主办人</w:t>
      </w:r>
      <w:r>
        <w:rPr>
          <w:kern w:val="0"/>
          <w:u w:val="single"/>
          <w:shd w:val="clear" w:color="auto" w:fill="FFFFFF"/>
        </w:rPr>
        <w:t xml:space="preserve">         </w:t>
      </w:r>
      <w:r>
        <w:rPr>
          <w:kern w:val="0"/>
          <w:shd w:val="clear" w:color="auto" w:fill="FFFFFF"/>
        </w:rPr>
        <w:t>现授权</w:t>
      </w:r>
      <w:r>
        <w:rPr>
          <w:kern w:val="0"/>
          <w:u w:val="single"/>
          <w:shd w:val="clear" w:color="auto" w:fill="FFFFFF"/>
        </w:rPr>
        <w:t xml:space="preserve">         </w:t>
      </w:r>
      <w:r>
        <w:t>先生/女士（其在本单位的职务是：</w:t>
      </w:r>
      <w:r>
        <w:rPr>
          <w:u w:val="single"/>
        </w:rPr>
        <w:t xml:space="preserve">        </w:t>
      </w:r>
      <w:r>
        <w:t>，联系电话：</w:t>
      </w:r>
      <w:r>
        <w:rPr>
          <w:u w:val="single"/>
        </w:rPr>
        <w:t xml:space="preserve">         </w:t>
      </w:r>
      <w:r>
        <w:t>，手机：</w:t>
      </w:r>
      <w:r>
        <w:rPr>
          <w:u w:val="single"/>
        </w:rPr>
        <w:t xml:space="preserve">           </w:t>
      </w:r>
      <w:r>
        <w:t>，传真：</w:t>
      </w:r>
      <w:r>
        <w:rPr>
          <w:u w:val="single"/>
        </w:rPr>
        <w:t xml:space="preserve">           </w:t>
      </w:r>
      <w:r>
        <w:t>，身份证号：</w:t>
      </w:r>
      <w:r>
        <w:rPr>
          <w:u w:val="single"/>
        </w:rPr>
        <w:t xml:space="preserve">                </w:t>
      </w:r>
      <w:r>
        <w:t>）</w:t>
      </w:r>
      <w:r>
        <w:rPr>
          <w:kern w:val="0"/>
          <w:shd w:val="clear" w:color="auto" w:fill="FFFFFF"/>
        </w:rPr>
        <w:t>为联合投标全权代表，全权处理</w:t>
      </w:r>
      <w:r>
        <w:rPr>
          <w:kern w:val="0"/>
          <w:u w:val="single"/>
          <w:shd w:val="clear" w:color="auto" w:fill="FFFFFF"/>
        </w:rPr>
        <w:t xml:space="preserve">                   </w:t>
      </w:r>
      <w:r>
        <w:rPr>
          <w:kern w:val="0"/>
          <w:shd w:val="clear" w:color="auto" w:fill="FFFFFF"/>
        </w:rPr>
        <w:t>项目（项目编号：HZLPZFCG-20 -  ）</w:t>
      </w:r>
      <w:r>
        <w:t>标项</w:t>
      </w:r>
      <w:r>
        <w:rPr>
          <w:u w:val="single"/>
        </w:rPr>
        <w:t xml:space="preserve">   </w:t>
      </w:r>
      <w:r>
        <w:rPr>
          <w:kern w:val="0"/>
          <w:shd w:val="clear" w:color="auto" w:fill="FFFFFF"/>
        </w:rPr>
        <w:t>的</w:t>
      </w:r>
      <w:r>
        <w:t>一切事项，若中标则全权代表本单位签订合同，并负责处理合同履行等事宜</w:t>
      </w:r>
      <w:r>
        <w:rPr>
          <w:kern w:val="0"/>
          <w:shd w:val="clear" w:color="auto" w:fill="FFFFFF"/>
        </w:rPr>
        <w:t>，联合投标各方均予以认可并遵守。</w:t>
      </w:r>
    </w:p>
    <w:p>
      <w:pPr>
        <w:ind w:firstLine="480" w:firstLineChars="200"/>
      </w:pPr>
      <w:r>
        <w:t>在撤销授权的书面通知以前，本授权书一直有效。授权代表在授权书有效期内签署的所有文件不因授权的撤销而失效。</w:t>
      </w:r>
    </w:p>
    <w:p>
      <w:pPr>
        <w:ind w:firstLine="480" w:firstLineChars="200"/>
      </w:pPr>
      <w:r>
        <w:t>授权代表无转委托权，特此委托。</w:t>
      </w:r>
    </w:p>
    <w:p>
      <w:pPr>
        <w:ind w:firstLine="480" w:firstLineChars="200"/>
      </w:pPr>
      <w:r>
        <w:t>特此告知。</w:t>
      </w:r>
    </w:p>
    <w:p>
      <w:r>
        <w:t xml:space="preserve">主办人法定代表人（签字）：        授权代表（签字）：           </w:t>
      </w:r>
    </w:p>
    <w:p>
      <w:pPr>
        <w:rPr>
          <w:b/>
        </w:rPr>
      </w:pPr>
    </w:p>
    <w:p>
      <w:pPr>
        <w:rPr>
          <w:b/>
        </w:rPr>
      </w:pPr>
      <w:r>
        <w:rPr>
          <w:b/>
        </w:rPr>
        <w:t>主办人法定代表人和授权代表的身份证正反面复印件、授权代表在本单位社保缴纳证明（加盖社保部门公章）附后</w:t>
      </w:r>
    </w:p>
    <w:p>
      <w:pPr>
        <w:widowControl/>
        <w:ind w:right="560" w:firstLine="480"/>
        <w:jc w:val="center"/>
      </w:pPr>
      <w:r>
        <w:rPr>
          <w:kern w:val="0"/>
          <w:shd w:val="clear" w:color="auto" w:fill="FFFFFF"/>
        </w:rPr>
        <w:t xml:space="preserve">                    主办人单位公章：</w:t>
      </w:r>
    </w:p>
    <w:p>
      <w:pPr>
        <w:widowControl/>
        <w:ind w:firstLine="480"/>
        <w:jc w:val="right"/>
        <w:rPr>
          <w:kern w:val="0"/>
          <w:shd w:val="clear" w:color="auto" w:fill="FFFFFF"/>
        </w:rPr>
      </w:pPr>
      <w:r>
        <w:rPr>
          <w:kern w:val="0"/>
          <w:shd w:val="clear" w:color="auto" w:fill="FFFFFF"/>
        </w:rPr>
        <w:t>授权委托日期：20  年  月   日</w:t>
      </w:r>
    </w:p>
    <w:p>
      <w:pPr>
        <w:widowControl/>
        <w:ind w:firstLine="480"/>
        <w:jc w:val="right"/>
        <w:rPr>
          <w:kern w:val="0"/>
          <w:sz w:val="32"/>
          <w:szCs w:val="32"/>
          <w:shd w:val="clear" w:color="auto" w:fill="FFFFFF"/>
        </w:rPr>
      </w:pPr>
    </w:p>
    <w:p>
      <w:pPr>
        <w:widowControl/>
        <w:jc w:val="left"/>
        <w:rPr>
          <w:sz w:val="30"/>
          <w:szCs w:val="30"/>
          <w:u w:val="single"/>
        </w:rPr>
      </w:pPr>
      <w:r>
        <w:rPr>
          <w:kern w:val="0"/>
          <w:sz w:val="32"/>
          <w:szCs w:val="32"/>
          <w:shd w:val="clear" w:color="auto" w:fill="FFFFFF"/>
        </w:rPr>
        <w:br w:type="page"/>
      </w:r>
      <w:r>
        <w:rPr>
          <w:sz w:val="30"/>
          <w:szCs w:val="30"/>
        </w:rPr>
        <w:t>附件4：</w:t>
      </w:r>
    </w:p>
    <w:p>
      <w:pPr>
        <w:autoSpaceDE w:val="0"/>
        <w:autoSpaceDN w:val="0"/>
        <w:adjustRightInd w:val="0"/>
        <w:jc w:val="center"/>
        <w:rPr>
          <w:b/>
          <w:sz w:val="28"/>
          <w:szCs w:val="28"/>
        </w:rPr>
      </w:pPr>
      <w:r>
        <w:rPr>
          <w:b/>
          <w:sz w:val="28"/>
          <w:szCs w:val="28"/>
        </w:rPr>
        <w:t>总公司（总机构）授权书</w:t>
      </w:r>
    </w:p>
    <w:p>
      <w:pPr>
        <w:jc w:val="center"/>
        <w:rPr>
          <w:b/>
          <w:sz w:val="32"/>
          <w:szCs w:val="32"/>
        </w:rPr>
      </w:pPr>
      <w:r>
        <w:rPr>
          <w:b/>
          <w:sz w:val="32"/>
          <w:szCs w:val="32"/>
        </w:rPr>
        <w:t xml:space="preserve"> </w:t>
      </w:r>
    </w:p>
    <w:p>
      <w:pPr>
        <w:rPr>
          <w:b/>
        </w:rPr>
      </w:pPr>
      <w:r>
        <w:rPr>
          <w:b/>
        </w:rPr>
        <w:t>杭州市公共资源交易中心临平分中心：</w:t>
      </w:r>
    </w:p>
    <w:p>
      <w:pPr>
        <w:rPr>
          <w:b/>
        </w:rPr>
      </w:pPr>
      <w:r>
        <w:rPr>
          <w:b/>
        </w:rPr>
        <w:t xml:space="preserve"> </w:t>
      </w:r>
    </w:p>
    <w:p>
      <w:pPr>
        <w:ind w:firstLine="480" w:firstLineChars="200"/>
        <w:rPr>
          <w:u w:val="single"/>
        </w:rPr>
      </w:pPr>
      <w:r>
        <w:rPr>
          <w:u w:val="single"/>
        </w:rPr>
        <w:t xml:space="preserve">                    （区域性分支机构）</w:t>
      </w:r>
      <w:r>
        <w:t>具备实际承担责任的能力和法定的缔结合同的能力，因此我公司授权</w:t>
      </w:r>
      <w:r>
        <w:rPr>
          <w:u w:val="single"/>
        </w:rPr>
        <w:t xml:space="preserve">                              （区域性分支机构）</w:t>
      </w:r>
      <w:r>
        <w:t>参加</w:t>
      </w:r>
      <w:r>
        <w:rPr>
          <w:u w:val="single"/>
        </w:rPr>
        <w:t xml:space="preserve">           </w:t>
      </w:r>
      <w:r>
        <w:t>项目（项目编号HZLPZFCG-20 -   ）标项</w:t>
      </w:r>
      <w:r>
        <w:rPr>
          <w:u w:val="single"/>
        </w:rPr>
        <w:t xml:space="preserve">   </w:t>
      </w:r>
      <w:r>
        <w:t>的投标，若中标则由</w:t>
      </w:r>
      <w:r>
        <w:rPr>
          <w:u w:val="single"/>
        </w:rPr>
        <w:t xml:space="preserve">                  （区域性分支机构）</w:t>
      </w:r>
      <w:r>
        <w:t>签订合同，并负责处理合同履行等事宜。且本公司就采购合同约定的事项对采购人承担连带责任。</w:t>
      </w:r>
    </w:p>
    <w:p>
      <w:r>
        <w:t xml:space="preserve"> </w:t>
      </w:r>
    </w:p>
    <w:p>
      <w:r>
        <w:t xml:space="preserve"> </w:t>
      </w:r>
    </w:p>
    <w:p>
      <w:pPr>
        <w:jc w:val="right"/>
      </w:pPr>
      <w:r>
        <w:t>授权单位：</w:t>
      </w:r>
    </w:p>
    <w:p>
      <w:pPr>
        <w:jc w:val="right"/>
      </w:pPr>
      <w:r>
        <w:t>授权单位盖章：</w:t>
      </w:r>
    </w:p>
    <w:p>
      <w:pPr>
        <w:jc w:val="right"/>
      </w:pPr>
      <w:r>
        <w:t xml:space="preserve"> </w:t>
      </w:r>
    </w:p>
    <w:p>
      <w:pPr>
        <w:jc w:val="right"/>
      </w:pPr>
      <w:r>
        <w:t xml:space="preserve"> </w:t>
      </w:r>
    </w:p>
    <w:p>
      <w:pPr>
        <w:jc w:val="right"/>
      </w:pPr>
      <w:r>
        <w:t xml:space="preserve">授权单位法定代表人（签字）：                              </w:t>
      </w:r>
    </w:p>
    <w:p>
      <w:pPr>
        <w:jc w:val="right"/>
      </w:pPr>
      <w:r>
        <w:t xml:space="preserve">                                                 </w:t>
      </w:r>
    </w:p>
    <w:p>
      <w:pPr>
        <w:jc w:val="right"/>
      </w:pPr>
      <w:r>
        <w:t>日期：    年  月  日</w:t>
      </w:r>
    </w:p>
    <w:p>
      <w:pPr>
        <w:widowControl/>
        <w:rPr>
          <w:kern w:val="0"/>
          <w:sz w:val="32"/>
          <w:szCs w:val="32"/>
          <w:shd w:val="clear" w:color="auto" w:fill="FFFFFF"/>
        </w:rPr>
      </w:pPr>
      <w:r>
        <w:rPr>
          <w:kern w:val="0"/>
          <w:shd w:val="clear" w:color="auto" w:fill="FFFFFF"/>
        </w:rPr>
        <w:br w:type="page"/>
      </w:r>
    </w:p>
    <w:p>
      <w:pPr>
        <w:snapToGrid w:val="0"/>
        <w:spacing w:before="156" w:beforeLines="50"/>
        <w:rPr>
          <w:b/>
          <w:kern w:val="0"/>
          <w:sz w:val="32"/>
          <w:szCs w:val="32"/>
          <w:shd w:val="clear" w:color="auto" w:fill="FFFFFF"/>
        </w:rPr>
      </w:pPr>
      <w:r>
        <w:rPr>
          <w:sz w:val="32"/>
          <w:szCs w:val="32"/>
        </w:rPr>
        <w:t>附件5：</w:t>
      </w:r>
    </w:p>
    <w:p>
      <w:pPr>
        <w:widowControl/>
        <w:jc w:val="center"/>
        <w:rPr>
          <w:sz w:val="28"/>
          <w:szCs w:val="28"/>
          <w:u w:val="single"/>
        </w:rPr>
      </w:pPr>
      <w:r>
        <w:rPr>
          <w:b/>
          <w:kern w:val="0"/>
          <w:sz w:val="28"/>
          <w:szCs w:val="28"/>
          <w:shd w:val="clear" w:color="auto" w:fill="FFFFFF"/>
        </w:rPr>
        <w:t>联合投标协议书</w:t>
      </w:r>
    </w:p>
    <w:p>
      <w:pPr>
        <w:widowControl/>
        <w:snapToGrid w:val="0"/>
        <w:jc w:val="left"/>
      </w:pPr>
      <w:r>
        <w:rPr>
          <w:kern w:val="0"/>
          <w:shd w:val="clear" w:color="auto" w:fill="FFFFFF"/>
        </w:rPr>
        <w:t>甲方：</w:t>
      </w:r>
    </w:p>
    <w:p>
      <w:pPr>
        <w:widowControl/>
        <w:snapToGrid w:val="0"/>
        <w:jc w:val="left"/>
      </w:pPr>
      <w:r>
        <w:rPr>
          <w:kern w:val="0"/>
          <w:shd w:val="clear" w:color="auto" w:fill="FFFFFF"/>
        </w:rPr>
        <w:t>乙方：</w:t>
      </w:r>
    </w:p>
    <w:p>
      <w:pPr>
        <w:widowControl/>
        <w:snapToGrid w:val="0"/>
        <w:ind w:firstLine="420"/>
        <w:jc w:val="left"/>
      </w:pPr>
      <w:r>
        <w:rPr>
          <w:kern w:val="0"/>
          <w:shd w:val="clear" w:color="auto" w:fill="FFFFFF"/>
        </w:rPr>
        <w:t>（如果有的话，可按甲、乙、丙、丁...序列增加）</w:t>
      </w:r>
    </w:p>
    <w:p>
      <w:pPr>
        <w:widowControl/>
        <w:snapToGrid w:val="0"/>
        <w:ind w:firstLine="420"/>
        <w:jc w:val="left"/>
      </w:pPr>
      <w:r>
        <w:rPr>
          <w:kern w:val="0"/>
          <w:shd w:val="clear" w:color="auto" w:fill="FFFFFF"/>
        </w:rPr>
        <w:t>各方经协商，就响应项目名称为   项目（项目编号：HZLPZFCG-20 - ）标项   的招标活动联合进行投标之事宜，达成如下协议： </w:t>
      </w:r>
    </w:p>
    <w:p>
      <w:pPr>
        <w:widowControl/>
        <w:snapToGrid w:val="0"/>
        <w:ind w:firstLine="420"/>
        <w:jc w:val="left"/>
      </w:pPr>
      <w:r>
        <w:rPr>
          <w:kern w:val="0"/>
          <w:shd w:val="clear" w:color="auto" w:fill="FFFFFF"/>
        </w:rPr>
        <w:t>一、各方一致决定，以 为投标人，以 为主办人，并按照招标文件和《余杭区政府集中采购公开招标项目联合体投标须知》的规定进行投标。</w:t>
      </w:r>
    </w:p>
    <w:p>
      <w:pPr>
        <w:widowControl/>
        <w:snapToGrid w:val="0"/>
        <w:ind w:firstLine="420"/>
        <w:jc w:val="left"/>
        <w:rPr>
          <w:kern w:val="0"/>
          <w:shd w:val="clear" w:color="auto" w:fill="FFFFFF"/>
        </w:rPr>
      </w:pPr>
      <w:r>
        <w:rPr>
          <w:kern w:val="0"/>
          <w:shd w:val="clear" w:color="auto" w:fill="FFFFFF"/>
        </w:rPr>
        <w:t>二、在本次投标过程中，主办人的法定代表人或授权代表根据招标文件规定及投标内容而对招标采购单位所作的任何承诺，包括书面澄清及响应等均对联合投标各方产生约束力。如果中标并签订合同，则联合投标各方将共同履行对招标采购单位所负有的全部义务并就采购合同约定的事项对采购人承担连带责任。</w:t>
      </w:r>
    </w:p>
    <w:p>
      <w:pPr>
        <w:widowControl/>
        <w:snapToGrid w:val="0"/>
        <w:ind w:firstLine="420"/>
        <w:jc w:val="left"/>
        <w:rPr>
          <w:kern w:val="0"/>
          <w:shd w:val="clear" w:color="auto" w:fill="FFFFFF"/>
        </w:rPr>
      </w:pPr>
      <w:r>
        <w:rPr>
          <w:kern w:val="0"/>
          <w:shd w:val="clear" w:color="auto" w:fill="FFFFFF"/>
        </w:rPr>
        <w:t>三、联合投标的其余各方保证对主办人为响应本次招标而提供的产品和服务提供全部质量保证及售后服务支持。</w:t>
      </w:r>
    </w:p>
    <w:p>
      <w:pPr>
        <w:widowControl/>
        <w:snapToGrid w:val="0"/>
        <w:ind w:firstLine="420"/>
        <w:jc w:val="left"/>
        <w:rPr>
          <w:kern w:val="0"/>
          <w:shd w:val="clear" w:color="auto" w:fill="FFFFFF"/>
        </w:rPr>
      </w:pPr>
      <w:r>
        <w:rPr>
          <w:kern w:val="0"/>
          <w:shd w:val="clear" w:color="auto" w:fill="FFFFFF"/>
        </w:rPr>
        <w:t>四、本次联合投标中，甲方承担的工作和义务为：乙方承担的工作和义务为：</w:t>
      </w:r>
    </w:p>
    <w:p>
      <w:pPr>
        <w:widowControl/>
        <w:snapToGrid w:val="0"/>
        <w:ind w:firstLine="420"/>
        <w:jc w:val="left"/>
        <w:rPr>
          <w:kern w:val="0"/>
          <w:shd w:val="clear" w:color="auto" w:fill="FFFFFF"/>
        </w:rPr>
      </w:pPr>
      <w:r>
        <w:rPr>
          <w:kern w:val="0"/>
          <w:shd w:val="clear" w:color="auto" w:fill="FFFFFF"/>
        </w:rPr>
        <w:t>五、有关本次联合投标的其他事宜：</w:t>
      </w:r>
    </w:p>
    <w:p>
      <w:pPr>
        <w:widowControl/>
        <w:snapToGrid w:val="0"/>
        <w:ind w:firstLine="420"/>
        <w:jc w:val="left"/>
        <w:rPr>
          <w:kern w:val="0"/>
          <w:shd w:val="clear" w:color="auto" w:fill="FFFFFF"/>
        </w:rPr>
      </w:pPr>
      <w:r>
        <w:rPr>
          <w:kern w:val="0"/>
          <w:shd w:val="clear" w:color="auto" w:fill="FFFFFF"/>
        </w:rPr>
        <w:t>六、本协议提交招标采购单位后，联合投标各方不得以任何形式对上述实质内容进行修改或撤销。</w:t>
      </w:r>
    </w:p>
    <w:p>
      <w:pPr>
        <w:widowControl/>
        <w:snapToGrid w:val="0"/>
        <w:ind w:firstLine="420"/>
        <w:jc w:val="left"/>
        <w:rPr>
          <w:kern w:val="0"/>
          <w:shd w:val="clear" w:color="auto" w:fill="FFFFFF"/>
        </w:rPr>
      </w:pPr>
      <w:r>
        <w:rPr>
          <w:kern w:val="0"/>
          <w:shd w:val="clear" w:color="auto" w:fill="FFFFFF"/>
        </w:rPr>
        <w:t>七、本协议一式多份，报名资料和投标文件中各提供一份。</w:t>
      </w:r>
    </w:p>
    <w:tbl>
      <w:tblPr>
        <w:tblStyle w:val="19"/>
        <w:tblW w:w="8756" w:type="dxa"/>
        <w:jc w:val="center"/>
        <w:tblLayout w:type="fixed"/>
        <w:tblCellMar>
          <w:top w:w="15" w:type="dxa"/>
          <w:left w:w="15" w:type="dxa"/>
          <w:bottom w:w="15" w:type="dxa"/>
          <w:right w:w="15" w:type="dxa"/>
        </w:tblCellMar>
      </w:tblPr>
      <w:tblGrid>
        <w:gridCol w:w="3969"/>
        <w:gridCol w:w="4787"/>
      </w:tblGrid>
      <w:tr>
        <w:tblPrEx>
          <w:tblCellMar>
            <w:top w:w="15" w:type="dxa"/>
            <w:left w:w="15" w:type="dxa"/>
            <w:bottom w:w="15" w:type="dxa"/>
            <w:right w:w="15" w:type="dxa"/>
          </w:tblCellMar>
        </w:tblPrEx>
        <w:trPr>
          <w:trHeight w:val="416" w:hRule="atLeast"/>
          <w:jc w:val="center"/>
        </w:trPr>
        <w:tc>
          <w:tcPr>
            <w:tcW w:w="3969" w:type="dxa"/>
            <w:tcMar>
              <w:top w:w="0" w:type="dxa"/>
              <w:left w:w="108" w:type="dxa"/>
              <w:bottom w:w="0" w:type="dxa"/>
              <w:right w:w="108" w:type="dxa"/>
            </w:tcMar>
          </w:tcPr>
          <w:p>
            <w:pPr>
              <w:widowControl/>
              <w:jc w:val="left"/>
            </w:pPr>
            <w:r>
              <w:rPr>
                <w:kern w:val="0"/>
              </w:rPr>
              <w:t>甲方单位： （公章） </w:t>
            </w:r>
          </w:p>
        </w:tc>
        <w:tc>
          <w:tcPr>
            <w:tcW w:w="4787" w:type="dxa"/>
            <w:tcMar>
              <w:top w:w="0" w:type="dxa"/>
              <w:left w:w="108" w:type="dxa"/>
              <w:bottom w:w="0" w:type="dxa"/>
              <w:right w:w="108" w:type="dxa"/>
            </w:tcMar>
          </w:tcPr>
          <w:p>
            <w:pPr>
              <w:widowControl/>
              <w:jc w:val="left"/>
            </w:pPr>
            <w:r>
              <w:rPr>
                <w:kern w:val="0"/>
              </w:rPr>
              <w:t>乙方单位：（公章）</w:t>
            </w:r>
          </w:p>
        </w:tc>
      </w:tr>
      <w:tr>
        <w:tblPrEx>
          <w:tblCellMar>
            <w:top w:w="15" w:type="dxa"/>
            <w:left w:w="15" w:type="dxa"/>
            <w:bottom w:w="15" w:type="dxa"/>
            <w:right w:w="15" w:type="dxa"/>
          </w:tblCellMar>
        </w:tblPrEx>
        <w:trPr>
          <w:trHeight w:val="416" w:hRule="atLeast"/>
          <w:jc w:val="center"/>
        </w:trPr>
        <w:tc>
          <w:tcPr>
            <w:tcW w:w="3969" w:type="dxa"/>
            <w:tcMar>
              <w:top w:w="0" w:type="dxa"/>
              <w:left w:w="108" w:type="dxa"/>
              <w:bottom w:w="0" w:type="dxa"/>
              <w:right w:w="108" w:type="dxa"/>
            </w:tcMar>
          </w:tcPr>
          <w:p>
            <w:pPr>
              <w:widowControl/>
              <w:jc w:val="left"/>
            </w:pPr>
            <w:r>
              <w:rPr>
                <w:kern w:val="0"/>
              </w:rPr>
              <w:t>法定代表人：（签字）</w:t>
            </w:r>
          </w:p>
        </w:tc>
        <w:tc>
          <w:tcPr>
            <w:tcW w:w="4787" w:type="dxa"/>
            <w:tcMar>
              <w:top w:w="0" w:type="dxa"/>
              <w:left w:w="108" w:type="dxa"/>
              <w:bottom w:w="0" w:type="dxa"/>
              <w:right w:w="108" w:type="dxa"/>
            </w:tcMar>
          </w:tcPr>
          <w:p>
            <w:pPr>
              <w:widowControl/>
              <w:jc w:val="left"/>
            </w:pPr>
            <w:r>
              <w:rPr>
                <w:kern w:val="0"/>
              </w:rPr>
              <w:t>法定代表人（签字）</w:t>
            </w:r>
          </w:p>
        </w:tc>
      </w:tr>
      <w:tr>
        <w:tblPrEx>
          <w:tblCellMar>
            <w:top w:w="15" w:type="dxa"/>
            <w:left w:w="15" w:type="dxa"/>
            <w:bottom w:w="15" w:type="dxa"/>
            <w:right w:w="15" w:type="dxa"/>
          </w:tblCellMar>
        </w:tblPrEx>
        <w:trPr>
          <w:trHeight w:val="416" w:hRule="atLeast"/>
          <w:jc w:val="center"/>
        </w:trPr>
        <w:tc>
          <w:tcPr>
            <w:tcW w:w="3969" w:type="dxa"/>
            <w:tcMar>
              <w:top w:w="0" w:type="dxa"/>
              <w:left w:w="108" w:type="dxa"/>
              <w:bottom w:w="0" w:type="dxa"/>
              <w:right w:w="108" w:type="dxa"/>
            </w:tcMar>
          </w:tcPr>
          <w:p>
            <w:pPr>
              <w:widowControl/>
              <w:jc w:val="left"/>
            </w:pPr>
            <w:r>
              <w:rPr>
                <w:kern w:val="0"/>
              </w:rPr>
              <w:t>日期： 年  月  日</w:t>
            </w:r>
          </w:p>
        </w:tc>
        <w:tc>
          <w:tcPr>
            <w:tcW w:w="4787" w:type="dxa"/>
            <w:tcMar>
              <w:top w:w="0" w:type="dxa"/>
              <w:left w:w="108" w:type="dxa"/>
              <w:bottom w:w="0" w:type="dxa"/>
              <w:right w:w="108" w:type="dxa"/>
            </w:tcMar>
          </w:tcPr>
          <w:p>
            <w:pPr>
              <w:widowControl/>
              <w:jc w:val="left"/>
            </w:pPr>
            <w:r>
              <w:rPr>
                <w:kern w:val="0"/>
              </w:rPr>
              <w:t>日期： 年  月  日</w:t>
            </w:r>
          </w:p>
        </w:tc>
      </w:tr>
    </w:tbl>
    <w:p/>
    <w:p>
      <w:pPr>
        <w:rPr>
          <w:kern w:val="0"/>
          <w:sz w:val="32"/>
          <w:szCs w:val="32"/>
        </w:rPr>
      </w:pPr>
      <w:r>
        <w:br w:type="page"/>
      </w:r>
      <w:r>
        <w:rPr>
          <w:kern w:val="0"/>
          <w:sz w:val="32"/>
          <w:szCs w:val="32"/>
        </w:rPr>
        <w:t>附件6：</w:t>
      </w:r>
    </w:p>
    <w:p>
      <w:pPr>
        <w:jc w:val="center"/>
        <w:rPr>
          <w:spacing w:val="-6"/>
          <w:sz w:val="28"/>
          <w:szCs w:val="32"/>
        </w:rPr>
      </w:pPr>
      <w:r>
        <w:rPr>
          <w:b/>
          <w:spacing w:val="-6"/>
          <w:sz w:val="28"/>
          <w:szCs w:val="32"/>
        </w:rPr>
        <w:t>无失信行为承诺书</w:t>
      </w:r>
    </w:p>
    <w:p>
      <w:pPr>
        <w:rPr>
          <w:b/>
          <w:kern w:val="0"/>
          <w:szCs w:val="32"/>
          <w:lang w:val="zh-CN"/>
        </w:rPr>
      </w:pPr>
      <w:r>
        <w:rPr>
          <w:b/>
          <w:kern w:val="0"/>
          <w:szCs w:val="32"/>
          <w:lang w:val="zh-CN"/>
        </w:rPr>
        <w:t>杭州市公共资源交易中心临平分中心：</w:t>
      </w:r>
    </w:p>
    <w:p>
      <w:pPr>
        <w:rPr>
          <w:kern w:val="0"/>
          <w:szCs w:val="32"/>
          <w:lang w:val="zh-CN"/>
        </w:rPr>
      </w:pPr>
    </w:p>
    <w:p>
      <w:pPr>
        <w:ind w:firstLine="585"/>
        <w:rPr>
          <w:spacing w:val="-6"/>
          <w:szCs w:val="32"/>
        </w:rPr>
      </w:pPr>
      <w:r>
        <w:rPr>
          <w:spacing w:val="-6"/>
          <w:szCs w:val="32"/>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pPr>
        <w:ind w:firstLine="585"/>
        <w:rPr>
          <w:spacing w:val="-6"/>
          <w:szCs w:val="32"/>
        </w:rPr>
      </w:pPr>
    </w:p>
    <w:p>
      <w:pPr>
        <w:autoSpaceDE w:val="0"/>
        <w:autoSpaceDN w:val="0"/>
        <w:adjustRightInd w:val="0"/>
        <w:jc w:val="center"/>
        <w:rPr>
          <w:kern w:val="0"/>
          <w:szCs w:val="32"/>
          <w:lang w:val="zh-CN"/>
        </w:rPr>
      </w:pPr>
      <w:r>
        <w:rPr>
          <w:kern w:val="0"/>
          <w:szCs w:val="32"/>
          <w:lang w:val="zh-CN"/>
        </w:rPr>
        <w:t>法定代表人或授权代表（签字）：</w:t>
      </w:r>
    </w:p>
    <w:p>
      <w:pPr>
        <w:autoSpaceDE w:val="0"/>
        <w:autoSpaceDN w:val="0"/>
        <w:adjustRightInd w:val="0"/>
        <w:jc w:val="center"/>
        <w:rPr>
          <w:kern w:val="0"/>
          <w:szCs w:val="32"/>
          <w:lang w:val="zh-CN"/>
        </w:rPr>
      </w:pPr>
    </w:p>
    <w:p>
      <w:pPr>
        <w:autoSpaceDE w:val="0"/>
        <w:autoSpaceDN w:val="0"/>
        <w:adjustRightInd w:val="0"/>
        <w:jc w:val="center"/>
        <w:rPr>
          <w:kern w:val="0"/>
          <w:szCs w:val="32"/>
          <w:lang w:val="zh-CN"/>
        </w:rPr>
      </w:pPr>
      <w:r>
        <w:rPr>
          <w:kern w:val="0"/>
          <w:szCs w:val="32"/>
          <w:lang w:val="zh-CN"/>
        </w:rPr>
        <w:t xml:space="preserve">供应商（公章）： </w:t>
      </w:r>
    </w:p>
    <w:p>
      <w:pPr>
        <w:autoSpaceDE w:val="0"/>
        <w:autoSpaceDN w:val="0"/>
        <w:adjustRightInd w:val="0"/>
        <w:jc w:val="right"/>
        <w:rPr>
          <w:kern w:val="0"/>
          <w:szCs w:val="32"/>
          <w:lang w:val="zh-CN"/>
        </w:rPr>
      </w:pPr>
      <w:r>
        <w:rPr>
          <w:kern w:val="0"/>
          <w:szCs w:val="32"/>
          <w:lang w:val="zh-CN"/>
        </w:rPr>
        <w:t xml:space="preserve"> </w:t>
      </w:r>
    </w:p>
    <w:p>
      <w:pPr>
        <w:autoSpaceDE w:val="0"/>
        <w:autoSpaceDN w:val="0"/>
        <w:adjustRightInd w:val="0"/>
        <w:rPr>
          <w:kern w:val="0"/>
          <w:szCs w:val="32"/>
          <w:lang w:val="zh-CN"/>
        </w:rPr>
      </w:pPr>
      <w:r>
        <w:rPr>
          <w:kern w:val="0"/>
          <w:szCs w:val="32"/>
        </w:rPr>
        <w:t xml:space="preserve">                        </w:t>
      </w:r>
      <w:r>
        <w:rPr>
          <w:kern w:val="0"/>
          <w:szCs w:val="32"/>
          <w:lang w:val="zh-CN"/>
        </w:rPr>
        <w:t xml:space="preserve"> 日期</w:t>
      </w:r>
      <w:r>
        <w:rPr>
          <w:kern w:val="0"/>
          <w:szCs w:val="32"/>
        </w:rPr>
        <w:t xml:space="preserve"> </w:t>
      </w:r>
      <w:r>
        <w:rPr>
          <w:kern w:val="0"/>
          <w:szCs w:val="32"/>
          <w:lang w:val="zh-CN"/>
        </w:rPr>
        <w:t>：</w:t>
      </w:r>
    </w:p>
    <w:p>
      <w:pPr>
        <w:rPr>
          <w:szCs w:val="32"/>
        </w:rPr>
      </w:pPr>
    </w:p>
    <w:p>
      <w:pPr>
        <w:snapToGrid w:val="0"/>
        <w:rPr>
          <w:sz w:val="30"/>
          <w:szCs w:val="30"/>
        </w:rPr>
      </w:pPr>
      <w:r>
        <w:rPr>
          <w:sz w:val="30"/>
          <w:szCs w:val="30"/>
        </w:rPr>
        <w:br w:type="page"/>
      </w:r>
    </w:p>
    <w:p>
      <w:pPr>
        <w:pStyle w:val="17"/>
      </w:pPr>
      <w:bookmarkStart w:id="48" w:name="_Toc66264910"/>
      <w:bookmarkStart w:id="49" w:name="_Toc63585695"/>
      <w:bookmarkStart w:id="50" w:name="_Toc63585741"/>
      <w:bookmarkStart w:id="51" w:name="_Toc63585253"/>
      <w:bookmarkStart w:id="52" w:name="_Toc57621909"/>
      <w:r>
        <w:t>2、技术及商务文件目录</w:t>
      </w:r>
      <w:bookmarkEnd w:id="48"/>
      <w:bookmarkEnd w:id="49"/>
      <w:bookmarkEnd w:id="50"/>
      <w:bookmarkEnd w:id="51"/>
      <w:bookmarkEnd w:id="52"/>
    </w:p>
    <w:p>
      <w:pPr>
        <w:snapToGrid w:val="0"/>
        <w:ind w:firstLine="480" w:firstLineChars="200"/>
        <w:jc w:val="left"/>
      </w:pPr>
      <w:r>
        <w:t>（1）评分对应表（格式见附件，主要用于评委对应评分内容）</w:t>
      </w:r>
    </w:p>
    <w:p>
      <w:pPr>
        <w:snapToGrid w:val="0"/>
        <w:ind w:firstLine="480" w:firstLineChars="200"/>
        <w:jc w:val="left"/>
      </w:pPr>
      <w:r>
        <w:t>（2）投标项目明细清单（含货物、服务等）；</w:t>
      </w:r>
    </w:p>
    <w:p>
      <w:pPr>
        <w:snapToGrid w:val="0"/>
        <w:ind w:firstLine="480" w:firstLineChars="200"/>
        <w:jc w:val="left"/>
      </w:pPr>
      <w:r>
        <w:t>（3）技术及商务响应表（格式见附件）；</w:t>
      </w:r>
    </w:p>
    <w:p>
      <w:pPr>
        <w:snapToGrid w:val="0"/>
        <w:ind w:firstLine="480" w:firstLineChars="200"/>
        <w:jc w:val="left"/>
      </w:pPr>
      <w:r>
        <w:t>（4）项目总体解决方案（可包含且不限于对项目总体要求的理解、项目总体架构及技术解决方案等）；</w:t>
      </w:r>
    </w:p>
    <w:p>
      <w:pPr>
        <w:snapToGrid w:val="0"/>
        <w:ind w:firstLine="480" w:firstLineChars="200"/>
        <w:jc w:val="left"/>
      </w:pPr>
      <w:r>
        <w:t>（5）项目实施计划（可包含且不限于保证工期的施工组织方案及人力资源安排、项目组人员清单（格式见附件）等）；</w:t>
      </w:r>
    </w:p>
    <w:p>
      <w:pPr>
        <w:snapToGrid w:val="0"/>
        <w:ind w:firstLine="480" w:firstLineChars="200"/>
        <w:jc w:val="left"/>
      </w:pPr>
      <w:r>
        <w:t>（6）列入政府采购节能环保清单的证明资料（若有）；</w:t>
      </w:r>
    </w:p>
    <w:p>
      <w:pPr>
        <w:snapToGrid w:val="0"/>
        <w:ind w:firstLine="480" w:firstLineChars="200"/>
        <w:jc w:val="left"/>
      </w:pPr>
      <w:r>
        <w:t>（7）售后服务计划（可包含且不限于对用户故障的响应、处理、定期巡检、备品备件、常用耗材提供、驻点人员情况等）；</w:t>
      </w:r>
    </w:p>
    <w:p>
      <w:pPr>
        <w:snapToGrid w:val="0"/>
        <w:ind w:firstLine="480" w:firstLineChars="200"/>
        <w:jc w:val="left"/>
      </w:pPr>
      <w:r>
        <w:t>（8）技术培训计划（若有）；</w:t>
      </w:r>
    </w:p>
    <w:p>
      <w:pPr>
        <w:snapToGrid w:val="0"/>
        <w:ind w:firstLine="480" w:firstLineChars="200"/>
        <w:jc w:val="left"/>
      </w:pPr>
      <w:r>
        <w:t>（9）投标人履约能力（可包含且不限于技术力量情况、投标人各项能力证书）；</w:t>
      </w:r>
    </w:p>
    <w:p>
      <w:pPr>
        <w:snapToGrid w:val="0"/>
        <w:ind w:firstLine="480" w:firstLineChars="200"/>
        <w:jc w:val="left"/>
      </w:pPr>
      <w:r>
        <w:t>（10）案例的业绩证明（投标人业绩情况一览表（格式见附件）、合同复印件等）；</w:t>
      </w:r>
    </w:p>
    <w:p>
      <w:pPr>
        <w:snapToGrid w:val="0"/>
        <w:ind w:firstLine="480" w:firstLineChars="200"/>
        <w:jc w:val="left"/>
      </w:pPr>
      <w:r>
        <w:t>（11）采购需求实质性内容响应表；</w:t>
      </w:r>
    </w:p>
    <w:p>
      <w:pPr>
        <w:snapToGrid w:val="0"/>
        <w:ind w:firstLine="480" w:firstLineChars="200"/>
        <w:jc w:val="left"/>
      </w:pPr>
      <w:r>
        <w:t>（12）投标方认为需要的其他文件资料。</w:t>
      </w:r>
    </w:p>
    <w:p>
      <w:pPr>
        <w:snapToGrid w:val="0"/>
        <w:spacing w:before="50" w:after="156" w:afterLines="50"/>
        <w:jc w:val="left"/>
        <w:rPr>
          <w:sz w:val="30"/>
          <w:szCs w:val="30"/>
        </w:rPr>
      </w:pPr>
      <w:r>
        <w:rPr>
          <w:sz w:val="30"/>
          <w:szCs w:val="30"/>
        </w:rPr>
        <w:br w:type="page"/>
      </w:r>
    </w:p>
    <w:p>
      <w:pPr>
        <w:snapToGrid w:val="0"/>
        <w:spacing w:before="50"/>
        <w:jc w:val="left"/>
        <w:rPr>
          <w:sz w:val="30"/>
          <w:szCs w:val="30"/>
        </w:rPr>
      </w:pPr>
      <w:r>
        <w:rPr>
          <w:sz w:val="30"/>
          <w:szCs w:val="30"/>
        </w:rPr>
        <w:t>附件7：</w:t>
      </w:r>
    </w:p>
    <w:p>
      <w:pPr>
        <w:pStyle w:val="17"/>
      </w:pPr>
      <w:bookmarkStart w:id="53" w:name="_Toc63585742"/>
      <w:bookmarkStart w:id="54" w:name="_Toc66264911"/>
      <w:bookmarkStart w:id="55" w:name="_Toc63585696"/>
      <w:bookmarkStart w:id="56" w:name="_Toc63585254"/>
      <w:r>
        <w:t>2、技术及商务文件目录</w:t>
      </w:r>
      <w:bookmarkEnd w:id="53"/>
      <w:bookmarkEnd w:id="54"/>
      <w:bookmarkEnd w:id="55"/>
      <w:bookmarkEnd w:id="56"/>
    </w:p>
    <w:p>
      <w:pPr>
        <w:snapToGrid w:val="0"/>
        <w:ind w:firstLine="480" w:firstLineChars="200"/>
        <w:jc w:val="left"/>
      </w:pPr>
      <w:r>
        <w:t>（1）评分对应表（格式见附件，主要用于评委对应评分内容）</w:t>
      </w:r>
    </w:p>
    <w:p>
      <w:pPr>
        <w:snapToGrid w:val="0"/>
        <w:ind w:firstLine="480" w:firstLineChars="200"/>
        <w:jc w:val="left"/>
      </w:pPr>
      <w:r>
        <w:t>（2）投标项目明细清单（含货物、服务等）；</w:t>
      </w:r>
    </w:p>
    <w:p>
      <w:pPr>
        <w:snapToGrid w:val="0"/>
        <w:ind w:firstLine="480" w:firstLineChars="200"/>
        <w:jc w:val="left"/>
      </w:pPr>
      <w:r>
        <w:t>（3）技术及商务响应表（格式见附件）；</w:t>
      </w:r>
    </w:p>
    <w:p>
      <w:pPr>
        <w:snapToGrid w:val="0"/>
        <w:ind w:firstLine="480" w:firstLineChars="200"/>
        <w:jc w:val="left"/>
      </w:pPr>
      <w:r>
        <w:t>（4）项目总体解决方案（可包含且不限于对项目总体要求的理解、项目总体架构及技术解决方案等）；</w:t>
      </w:r>
    </w:p>
    <w:p>
      <w:pPr>
        <w:snapToGrid w:val="0"/>
        <w:ind w:firstLine="480" w:firstLineChars="200"/>
        <w:jc w:val="left"/>
      </w:pPr>
      <w:r>
        <w:t>（5）项目实施计划（可包含且不限于保证工期的施工组织方案及人力资源安排、项目组人员清单（格式见附件）等）；</w:t>
      </w:r>
    </w:p>
    <w:p>
      <w:pPr>
        <w:snapToGrid w:val="0"/>
        <w:ind w:firstLine="480" w:firstLineChars="200"/>
        <w:jc w:val="left"/>
      </w:pPr>
      <w:r>
        <w:t>（6）列入政府采购节能环保清单的证明资料（若有）；</w:t>
      </w:r>
    </w:p>
    <w:p>
      <w:pPr>
        <w:snapToGrid w:val="0"/>
        <w:ind w:firstLine="480" w:firstLineChars="200"/>
        <w:jc w:val="left"/>
      </w:pPr>
      <w:r>
        <w:t>（7）售后服务计划（可包含且不限于对用户故障的响应、处理、定期巡检、备品备件、常用耗材提供、驻点人员情况等）；</w:t>
      </w:r>
    </w:p>
    <w:p>
      <w:pPr>
        <w:snapToGrid w:val="0"/>
        <w:ind w:firstLine="480" w:firstLineChars="200"/>
        <w:jc w:val="left"/>
      </w:pPr>
      <w:r>
        <w:t>（8）技术培训计划（若有）；</w:t>
      </w:r>
    </w:p>
    <w:p>
      <w:pPr>
        <w:snapToGrid w:val="0"/>
        <w:ind w:firstLine="480" w:firstLineChars="200"/>
        <w:jc w:val="left"/>
      </w:pPr>
      <w:r>
        <w:t>（9）投标人履约能力（可包含且不限于技术力量情况、投标人各项能力证书）；</w:t>
      </w:r>
    </w:p>
    <w:p>
      <w:pPr>
        <w:snapToGrid w:val="0"/>
        <w:ind w:firstLine="480" w:firstLineChars="200"/>
        <w:jc w:val="left"/>
      </w:pPr>
      <w:r>
        <w:t>（10）案例的业绩证明（投标人业绩情况一览表（格式见附件）、合同复印件等）；</w:t>
      </w:r>
    </w:p>
    <w:p>
      <w:pPr>
        <w:snapToGrid w:val="0"/>
        <w:ind w:firstLine="480" w:firstLineChars="200"/>
        <w:jc w:val="left"/>
      </w:pPr>
      <w:r>
        <w:t>（11）采购需求实质性内容响应表；</w:t>
      </w:r>
    </w:p>
    <w:p>
      <w:pPr>
        <w:snapToGrid w:val="0"/>
        <w:ind w:firstLine="480" w:firstLineChars="200"/>
        <w:jc w:val="left"/>
      </w:pPr>
      <w:r>
        <w:t>（12）投标方认为需要的其他文件资料。</w:t>
      </w:r>
    </w:p>
    <w:p>
      <w:pPr>
        <w:snapToGrid w:val="0"/>
        <w:spacing w:after="156" w:afterLines="50"/>
        <w:jc w:val="left"/>
      </w:pPr>
    </w:p>
    <w:p>
      <w:pPr>
        <w:snapToGrid w:val="0"/>
        <w:jc w:val="left"/>
        <w:rPr>
          <w:sz w:val="32"/>
          <w:szCs w:val="32"/>
        </w:rPr>
      </w:pPr>
      <w:r>
        <w:rPr>
          <w:sz w:val="30"/>
          <w:szCs w:val="30"/>
        </w:rPr>
        <w:br w:type="page"/>
      </w:r>
      <w:r>
        <w:rPr>
          <w:sz w:val="32"/>
          <w:szCs w:val="32"/>
        </w:rPr>
        <w:t>附件7：</w:t>
      </w:r>
    </w:p>
    <w:p>
      <w:pPr>
        <w:snapToGrid w:val="0"/>
        <w:jc w:val="center"/>
        <w:rPr>
          <w:b/>
          <w:sz w:val="28"/>
          <w:szCs w:val="32"/>
        </w:rPr>
      </w:pPr>
      <w:r>
        <w:rPr>
          <w:b/>
          <w:sz w:val="28"/>
          <w:szCs w:val="32"/>
        </w:rPr>
        <w:t>评分对应表</w:t>
      </w:r>
    </w:p>
    <w:p>
      <w:pPr>
        <w:snapToGrid w:val="0"/>
        <w:jc w:val="center"/>
        <w:rPr>
          <w:b/>
        </w:rPr>
      </w:pPr>
    </w:p>
    <w:p>
      <w:pPr>
        <w:pStyle w:val="4"/>
        <w:snapToGrid w:val="0"/>
        <w:spacing w:before="0" w:after="0"/>
        <w:rPr>
          <w:rFonts w:ascii="Times New Roman" w:hAnsi="Times New Roman" w:eastAsia="宋体"/>
          <w:sz w:val="24"/>
          <w:szCs w:val="24"/>
          <w:u w:val="single"/>
        </w:rPr>
      </w:pPr>
      <w:r>
        <w:rPr>
          <w:rFonts w:ascii="Times New Roman" w:hAnsi="Times New Roman" w:eastAsia="宋体"/>
          <w:sz w:val="24"/>
          <w:szCs w:val="24"/>
        </w:rPr>
        <w:t xml:space="preserve">投标人（公章）：              </w:t>
      </w:r>
      <w:r>
        <w:rPr>
          <w:rFonts w:hint="eastAsia" w:ascii="Times New Roman" w:hAnsi="Times New Roman" w:eastAsia="宋体"/>
          <w:sz w:val="24"/>
          <w:szCs w:val="24"/>
        </w:rPr>
        <w:t xml:space="preserve">                        </w:t>
      </w:r>
      <w:r>
        <w:rPr>
          <w:rFonts w:ascii="Times New Roman" w:hAnsi="Times New Roman" w:eastAsia="宋体"/>
          <w:sz w:val="24"/>
          <w:szCs w:val="24"/>
        </w:rPr>
        <w:t xml:space="preserve">  </w:t>
      </w:r>
    </w:p>
    <w:tbl>
      <w:tblPr>
        <w:tblStyle w:val="1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pPr>
            <w: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pPr>
            <w: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pPr>
            <w: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pPr>
            <w:r>
              <w:t>技术分</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pPr>
            <w: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ind w:left="43"/>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ind w:left="43"/>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ind w:left="43"/>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pPr>
            <w:r>
              <w:t>商务分</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pPr>
            <w: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bl>
    <w:p>
      <w:pPr>
        <w:rPr>
          <w:kern w:val="0"/>
        </w:rPr>
      </w:pPr>
      <w:r>
        <w:rPr>
          <w:kern w:val="0"/>
        </w:rPr>
        <w:t xml:space="preserve">  注：含多个标项的采购项目，投标人须按标项分别填报。</w:t>
      </w:r>
    </w:p>
    <w:p>
      <w:pPr>
        <w:snapToGrid w:val="0"/>
        <w:spacing w:before="156" w:beforeLines="50"/>
      </w:pPr>
    </w:p>
    <w:p>
      <w:pPr>
        <w:snapToGrid w:val="0"/>
        <w:spacing w:before="156" w:beforeLines="50"/>
        <w:rPr>
          <w:u w:val="single"/>
        </w:rPr>
      </w:pPr>
      <w:r>
        <w:t>法定代表或授权代表签字：               日期：</w:t>
      </w:r>
    </w:p>
    <w:p>
      <w:pPr>
        <w:snapToGrid w:val="0"/>
        <w:spacing w:after="156" w:afterLines="50"/>
        <w:jc w:val="left"/>
        <w:rPr>
          <w:sz w:val="32"/>
          <w:szCs w:val="32"/>
        </w:rPr>
      </w:pPr>
    </w:p>
    <w:p>
      <w:pPr>
        <w:snapToGrid w:val="0"/>
        <w:spacing w:before="50" w:after="156" w:afterLines="50"/>
        <w:jc w:val="left"/>
        <w:rPr>
          <w:sz w:val="30"/>
          <w:szCs w:val="30"/>
        </w:rPr>
      </w:pPr>
    </w:p>
    <w:p>
      <w:pPr>
        <w:snapToGrid w:val="0"/>
        <w:spacing w:before="50" w:after="50"/>
        <w:rPr>
          <w:spacing w:val="20"/>
          <w:sz w:val="30"/>
          <w:szCs w:val="30"/>
        </w:rPr>
      </w:pPr>
    </w:p>
    <w:p>
      <w:pPr>
        <w:snapToGrid w:val="0"/>
        <w:spacing w:before="50" w:after="50"/>
        <w:rPr>
          <w:sz w:val="30"/>
          <w:szCs w:val="30"/>
        </w:rPr>
      </w:pPr>
      <w:r>
        <w:rPr>
          <w:spacing w:val="20"/>
          <w:sz w:val="30"/>
          <w:szCs w:val="30"/>
        </w:rPr>
        <w:br w:type="page"/>
      </w:r>
      <w:r>
        <w:rPr>
          <w:sz w:val="30"/>
          <w:szCs w:val="30"/>
        </w:rPr>
        <w:t>附件8：</w:t>
      </w:r>
    </w:p>
    <w:p>
      <w:pPr>
        <w:snapToGrid w:val="0"/>
        <w:spacing w:after="156" w:afterLines="50"/>
        <w:jc w:val="center"/>
        <w:rPr>
          <w:b/>
          <w:bCs/>
          <w:spacing w:val="40"/>
          <w:kern w:val="0"/>
          <w:sz w:val="28"/>
          <w:szCs w:val="28"/>
        </w:rPr>
      </w:pPr>
      <w:r>
        <w:rPr>
          <w:b/>
          <w:bCs/>
          <w:sz w:val="28"/>
          <w:szCs w:val="28"/>
        </w:rPr>
        <w:t>技术及商务响应表</w:t>
      </w:r>
    </w:p>
    <w:p>
      <w:pPr>
        <w:snapToGrid w:val="0"/>
        <w:spacing w:after="156" w:afterLines="50"/>
        <w:jc w:val="center"/>
        <w:rPr>
          <w:b/>
        </w:rPr>
      </w:pPr>
    </w:p>
    <w:p>
      <w:pPr>
        <w:pStyle w:val="4"/>
        <w:snapToGrid w:val="0"/>
        <w:spacing w:before="0" w:after="0"/>
        <w:rPr>
          <w:rFonts w:ascii="Times New Roman" w:hAnsi="Times New Roman" w:eastAsia="宋体"/>
          <w:sz w:val="24"/>
          <w:szCs w:val="24"/>
          <w:u w:val="single"/>
        </w:rPr>
      </w:pPr>
      <w:r>
        <w:rPr>
          <w:rFonts w:ascii="Times New Roman" w:hAnsi="Times New Roman" w:eastAsia="宋体"/>
          <w:sz w:val="24"/>
          <w:szCs w:val="24"/>
        </w:rPr>
        <w:t xml:space="preserve">投标人（公章）：                  </w:t>
      </w:r>
    </w:p>
    <w:tbl>
      <w:tblPr>
        <w:tblStyle w:val="1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after="156" w:afterLines="50"/>
              <w:jc w:val="center"/>
            </w:pPr>
            <w: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after="156" w:afterLines="50"/>
              <w:jc w:val="center"/>
            </w:pPr>
            <w: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after="156" w:afterLines="50"/>
              <w:jc w:val="center"/>
            </w:pPr>
            <w: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outlineLvl w:val="0"/>
              <w:rPr>
                <w:rFonts w:ascii="Times New Roman" w:hAnsi="Times New Roman"/>
                <w:szCs w:val="24"/>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outlineLvl w:val="0"/>
              <w:rPr>
                <w:rFonts w:ascii="Times New Roman" w:hAnsi="Times New Roman"/>
                <w:szCs w:val="24"/>
              </w:rPr>
            </w:pPr>
          </w:p>
        </w:tc>
        <w:tc>
          <w:tcPr>
            <w:tcW w:w="2423" w:type="dxa"/>
            <w:tcBorders>
              <w:top w:val="single" w:color="auto" w:sz="4" w:space="0"/>
              <w:left w:val="single" w:color="auto" w:sz="4" w:space="0"/>
              <w:bottom w:val="single" w:color="auto" w:sz="4" w:space="0"/>
              <w:right w:val="single" w:color="auto" w:sz="4" w:space="0"/>
            </w:tcBorders>
          </w:tcPr>
          <w:p>
            <w:pPr>
              <w:pStyle w:val="9"/>
              <w:snapToGrid w:val="0"/>
              <w:outlineLvl w:val="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outlineLvl w:val="0"/>
              <w:rPr>
                <w:rFonts w:ascii="Times New Roman" w:hAnsi="Times New Roman"/>
                <w:szCs w:val="24"/>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rPr>
                <w:rFonts w:ascii="Times New Roman" w:hAnsi="Times New Roman"/>
                <w:szCs w:val="24"/>
              </w:rPr>
            </w:pPr>
          </w:p>
        </w:tc>
        <w:tc>
          <w:tcPr>
            <w:tcW w:w="2423" w:type="dxa"/>
            <w:tcBorders>
              <w:top w:val="single" w:color="auto" w:sz="4" w:space="0"/>
              <w:left w:val="single" w:color="auto" w:sz="4" w:space="0"/>
              <w:bottom w:val="single" w:color="auto" w:sz="4" w:space="0"/>
              <w:right w:val="single" w:color="auto" w:sz="4" w:space="0"/>
            </w:tcBorders>
          </w:tcPr>
          <w:p>
            <w:pPr>
              <w:pStyle w:val="9"/>
              <w:snapToGrid w:val="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outlineLvl w:val="0"/>
              <w:rPr>
                <w:rFonts w:ascii="Times New Roman" w:hAnsi="Times New Roman"/>
                <w:szCs w:val="24"/>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outlineLvl w:val="0"/>
              <w:rPr>
                <w:rFonts w:ascii="Times New Roman" w:hAnsi="Times New Roman"/>
                <w:szCs w:val="24"/>
              </w:rPr>
            </w:pPr>
          </w:p>
        </w:tc>
        <w:tc>
          <w:tcPr>
            <w:tcW w:w="2423" w:type="dxa"/>
            <w:tcBorders>
              <w:top w:val="single" w:color="auto" w:sz="4" w:space="0"/>
              <w:left w:val="single" w:color="auto" w:sz="4" w:space="0"/>
              <w:bottom w:val="single" w:color="auto" w:sz="4" w:space="0"/>
              <w:right w:val="single" w:color="auto" w:sz="4" w:space="0"/>
            </w:tcBorders>
          </w:tcPr>
          <w:p>
            <w:pPr>
              <w:pStyle w:val="9"/>
              <w:snapToGrid w:val="0"/>
              <w:outlineLvl w:val="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outlineLvl w:val="0"/>
              <w:rPr>
                <w:rFonts w:ascii="Times New Roman" w:hAnsi="Times New Roman"/>
                <w:szCs w:val="24"/>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outlineLvl w:val="0"/>
              <w:rPr>
                <w:rFonts w:ascii="Times New Roman" w:hAnsi="Times New Roman"/>
                <w:szCs w:val="24"/>
              </w:rPr>
            </w:pPr>
          </w:p>
        </w:tc>
        <w:tc>
          <w:tcPr>
            <w:tcW w:w="2423" w:type="dxa"/>
            <w:tcBorders>
              <w:top w:val="single" w:color="auto" w:sz="4" w:space="0"/>
              <w:left w:val="single" w:color="auto" w:sz="4" w:space="0"/>
              <w:bottom w:val="nil"/>
              <w:right w:val="single" w:color="auto" w:sz="4" w:space="0"/>
            </w:tcBorders>
          </w:tcPr>
          <w:p>
            <w:pPr>
              <w:pStyle w:val="9"/>
              <w:snapToGrid w:val="0"/>
              <w:outlineLvl w:val="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outlineLvl w:val="0"/>
              <w:rPr>
                <w:rFonts w:ascii="Times New Roman" w:hAnsi="Times New Roman"/>
                <w:szCs w:val="24"/>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outlineLvl w:val="0"/>
              <w:rPr>
                <w:rFonts w:ascii="Times New Roman" w:hAnsi="Times New Roman"/>
                <w:szCs w:val="24"/>
              </w:rPr>
            </w:pPr>
          </w:p>
        </w:tc>
        <w:tc>
          <w:tcPr>
            <w:tcW w:w="2423" w:type="dxa"/>
            <w:tcBorders>
              <w:top w:val="single" w:color="auto" w:sz="4" w:space="0"/>
              <w:left w:val="single" w:color="auto" w:sz="4" w:space="0"/>
              <w:bottom w:val="single" w:color="auto" w:sz="4" w:space="0"/>
              <w:right w:val="single" w:color="auto" w:sz="4" w:space="0"/>
            </w:tcBorders>
          </w:tcPr>
          <w:p>
            <w:pPr>
              <w:pStyle w:val="9"/>
              <w:snapToGrid w:val="0"/>
              <w:outlineLvl w:val="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outlineLvl w:val="0"/>
              <w:rPr>
                <w:rFonts w:ascii="Times New Roman" w:hAnsi="Times New Roman"/>
                <w:szCs w:val="24"/>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outlineLvl w:val="0"/>
              <w:rPr>
                <w:rFonts w:ascii="Times New Roman" w:hAnsi="Times New Roman"/>
                <w:szCs w:val="24"/>
              </w:rPr>
            </w:pPr>
          </w:p>
        </w:tc>
        <w:tc>
          <w:tcPr>
            <w:tcW w:w="2423" w:type="dxa"/>
            <w:tcBorders>
              <w:top w:val="single" w:color="auto" w:sz="4" w:space="0"/>
              <w:left w:val="single" w:color="auto" w:sz="4" w:space="0"/>
              <w:bottom w:val="single" w:color="auto" w:sz="4" w:space="0"/>
              <w:right w:val="single" w:color="auto" w:sz="4" w:space="0"/>
            </w:tcBorders>
          </w:tcPr>
          <w:p>
            <w:pPr>
              <w:pStyle w:val="9"/>
              <w:snapToGrid w:val="0"/>
              <w:outlineLvl w:val="0"/>
              <w:rPr>
                <w:rFonts w:ascii="Times New Roman" w:hAnsi="Times New Roman"/>
                <w:szCs w:val="24"/>
              </w:rPr>
            </w:pPr>
          </w:p>
        </w:tc>
      </w:tr>
    </w:tbl>
    <w:p>
      <w:pPr>
        <w:pStyle w:val="6"/>
        <w:spacing w:after="0"/>
        <w:rPr>
          <w:sz w:val="24"/>
          <w:szCs w:val="24"/>
        </w:rPr>
      </w:pPr>
    </w:p>
    <w:p>
      <w:pPr>
        <w:pStyle w:val="6"/>
        <w:spacing w:after="0"/>
        <w:rPr>
          <w:sz w:val="24"/>
          <w:szCs w:val="24"/>
        </w:rPr>
      </w:pPr>
      <w:r>
        <w:rPr>
          <w:sz w:val="24"/>
          <w:szCs w:val="24"/>
        </w:rPr>
        <w:t>注：1、投标人应根据投标设备的性能指标、对照招标文件要求在“偏离情况”栏注明“正偏离”、“负偏离”或“无偏离”。</w:t>
      </w:r>
    </w:p>
    <w:p>
      <w:pPr>
        <w:rPr>
          <w:kern w:val="0"/>
        </w:rPr>
      </w:pPr>
      <w:r>
        <w:t xml:space="preserve">   </w:t>
      </w:r>
      <w:r>
        <w:rPr>
          <w:kern w:val="0"/>
        </w:rPr>
        <w:t xml:space="preserve"> 2、含多个标项的采购项目，投标人须按标项分别填报。</w:t>
      </w:r>
    </w:p>
    <w:p>
      <w:pPr>
        <w:pStyle w:val="6"/>
        <w:spacing w:after="0"/>
        <w:rPr>
          <w:sz w:val="24"/>
          <w:szCs w:val="24"/>
        </w:rPr>
      </w:pPr>
    </w:p>
    <w:p>
      <w:pPr>
        <w:snapToGrid w:val="0"/>
        <w:rPr>
          <w:spacing w:val="20"/>
        </w:rPr>
      </w:pPr>
    </w:p>
    <w:p>
      <w:pPr>
        <w:snapToGrid w:val="0"/>
      </w:pPr>
      <w:r>
        <w:rPr>
          <w:spacing w:val="20"/>
        </w:rPr>
        <w:t>法定代表或授权代表签字：          日 期：</w:t>
      </w:r>
    </w:p>
    <w:p>
      <w:pPr>
        <w:snapToGrid w:val="0"/>
        <w:spacing w:before="50" w:after="50"/>
        <w:rPr>
          <w:sz w:val="30"/>
          <w:szCs w:val="30"/>
        </w:rPr>
      </w:pPr>
      <w:r>
        <w:rPr>
          <w:sz w:val="30"/>
          <w:szCs w:val="30"/>
        </w:rPr>
        <w:br w:type="page"/>
      </w:r>
      <w:r>
        <w:rPr>
          <w:sz w:val="30"/>
          <w:szCs w:val="30"/>
        </w:rPr>
        <w:t>附件9：</w:t>
      </w:r>
    </w:p>
    <w:p>
      <w:pPr>
        <w:snapToGrid w:val="0"/>
        <w:spacing w:after="156" w:afterLines="50"/>
        <w:jc w:val="center"/>
        <w:rPr>
          <w:b/>
          <w:kern w:val="0"/>
          <w:sz w:val="28"/>
          <w:szCs w:val="28"/>
        </w:rPr>
      </w:pPr>
      <w:r>
        <w:rPr>
          <w:b/>
          <w:kern w:val="0"/>
          <w:sz w:val="28"/>
          <w:szCs w:val="28"/>
        </w:rPr>
        <w:t>项目组人员清单</w:t>
      </w:r>
    </w:p>
    <w:p>
      <w:pPr>
        <w:snapToGrid w:val="0"/>
        <w:spacing w:before="156" w:beforeLines="50"/>
        <w:jc w:val="center"/>
        <w:rPr>
          <w:b/>
          <w:sz w:val="32"/>
          <w:szCs w:val="32"/>
        </w:rPr>
      </w:pPr>
    </w:p>
    <w:p>
      <w:pPr>
        <w:pStyle w:val="4"/>
        <w:snapToGrid w:val="0"/>
        <w:spacing w:before="0" w:after="0"/>
        <w:rPr>
          <w:rFonts w:ascii="Times New Roman" w:hAnsi="Times New Roman" w:eastAsia="宋体"/>
          <w:sz w:val="24"/>
          <w:szCs w:val="24"/>
          <w:u w:val="single"/>
        </w:rPr>
      </w:pPr>
      <w:r>
        <w:rPr>
          <w:rFonts w:ascii="Times New Roman" w:hAnsi="Times New Roman" w:eastAsia="宋体"/>
          <w:sz w:val="24"/>
          <w:szCs w:val="24"/>
        </w:rPr>
        <w:t xml:space="preserve">投标人（公章）：            </w:t>
      </w:r>
    </w:p>
    <w:tbl>
      <w:tblPr>
        <w:tblStyle w:val="1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pPr>
            <w: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pPr>
            <w: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pPr>
            <w:r>
              <w:t>专业技</w:t>
            </w:r>
          </w:p>
          <w:p>
            <w:pPr>
              <w:snapToGrid w:val="0"/>
              <w:spacing w:before="156" w:beforeLines="50"/>
              <w:jc w:val="center"/>
            </w:pPr>
            <w: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pPr>
            <w:r>
              <w:t>证书</w:t>
            </w:r>
          </w:p>
          <w:p>
            <w:pPr>
              <w:snapToGrid w:val="0"/>
              <w:spacing w:before="156" w:beforeLines="50"/>
              <w:jc w:val="center"/>
            </w:pPr>
            <w: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bCs/>
              </w:rPr>
            </w:pPr>
            <w:r>
              <w:rPr>
                <w:bCs/>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bCs/>
              </w:rPr>
            </w:pPr>
            <w:r>
              <w:rPr>
                <w:bCs/>
              </w:rPr>
              <w:t>劳动合</w:t>
            </w:r>
          </w:p>
          <w:p>
            <w:pPr>
              <w:snapToGrid w:val="0"/>
              <w:spacing w:before="156" w:beforeLines="50"/>
              <w:jc w:val="center"/>
              <w:rPr>
                <w:bCs/>
              </w:rPr>
            </w:pPr>
            <w:r>
              <w:rPr>
                <w:bCs/>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663" w:type="dxa"/>
            <w:tcBorders>
              <w:top w:val="single" w:color="auto" w:sz="4" w:space="0"/>
              <w:left w:val="single" w:color="auto" w:sz="4" w:space="0"/>
              <w:bottom w:val="single" w:color="auto" w:sz="4" w:space="0"/>
              <w:right w:val="single" w:color="auto" w:sz="4" w:space="0"/>
            </w:tcBorders>
          </w:tcPr>
          <w:p>
            <w:pPr>
              <w:pStyle w:val="10"/>
              <w:snapToGrid w:val="0"/>
              <w:spacing w:before="156" w:beforeLines="50"/>
              <w:ind w:left="5250"/>
              <w:rPr>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pPr>
          </w:p>
        </w:tc>
      </w:tr>
    </w:tbl>
    <w:p>
      <w:pPr>
        <w:snapToGrid w:val="0"/>
        <w:spacing w:after="156" w:afterLines="50"/>
        <w:jc w:val="left"/>
      </w:pPr>
      <w:r>
        <w:t xml:space="preserve">注：1、在填写时，如本表格不适合投标单位的实际情况，可根据本表格式自行划表填写。 </w:t>
      </w:r>
    </w:p>
    <w:p>
      <w:pPr>
        <w:ind w:firstLine="360" w:firstLineChars="150"/>
        <w:rPr>
          <w:kern w:val="0"/>
        </w:rPr>
      </w:pPr>
      <w:r>
        <w:rPr>
          <w:kern w:val="0"/>
        </w:rPr>
        <w:t xml:space="preserve"> 2、含多个标项的采购项目，投标人须按标项分别填报。</w:t>
      </w:r>
    </w:p>
    <w:p>
      <w:pPr>
        <w:snapToGrid w:val="0"/>
        <w:spacing w:after="156" w:afterLines="50"/>
        <w:jc w:val="left"/>
      </w:pPr>
    </w:p>
    <w:p>
      <w:pPr>
        <w:snapToGrid w:val="0"/>
        <w:rPr>
          <w:spacing w:val="20"/>
          <w:u w:val="single"/>
        </w:rPr>
      </w:pPr>
      <w:r>
        <w:rPr>
          <w:spacing w:val="20"/>
        </w:rPr>
        <w:t xml:space="preserve">法定代表或授权代表签字：        </w:t>
      </w:r>
      <w:r>
        <w:rPr>
          <w:rFonts w:hint="eastAsia"/>
          <w:spacing w:val="20"/>
        </w:rPr>
        <w:t xml:space="preserve">       </w:t>
      </w:r>
      <w:r>
        <w:rPr>
          <w:spacing w:val="20"/>
        </w:rPr>
        <w:t xml:space="preserve"> 日  期：</w:t>
      </w:r>
    </w:p>
    <w:p>
      <w:pPr>
        <w:snapToGrid w:val="0"/>
        <w:spacing w:after="156" w:afterLines="50"/>
        <w:jc w:val="left"/>
      </w:pPr>
    </w:p>
    <w:p>
      <w:pPr>
        <w:pStyle w:val="9"/>
        <w:snapToGrid w:val="0"/>
        <w:rPr>
          <w:rFonts w:ascii="Times New Roman" w:hAnsi="Times New Roman"/>
          <w:szCs w:val="24"/>
        </w:rPr>
      </w:pPr>
    </w:p>
    <w:p>
      <w:pPr>
        <w:snapToGrid w:val="0"/>
        <w:spacing w:before="50" w:after="156" w:afterLines="50" w:line="460" w:lineRule="exact"/>
        <w:jc w:val="left"/>
        <w:rPr>
          <w:sz w:val="30"/>
          <w:szCs w:val="30"/>
        </w:rPr>
      </w:pPr>
      <w:r>
        <w:br w:type="page"/>
      </w:r>
      <w:r>
        <w:rPr>
          <w:sz w:val="30"/>
          <w:szCs w:val="30"/>
        </w:rPr>
        <w:t>附件10：</w:t>
      </w:r>
    </w:p>
    <w:p>
      <w:pPr>
        <w:snapToGrid w:val="0"/>
        <w:jc w:val="center"/>
        <w:rPr>
          <w:b/>
          <w:sz w:val="28"/>
          <w:szCs w:val="28"/>
        </w:rPr>
      </w:pPr>
      <w:r>
        <w:rPr>
          <w:b/>
          <w:sz w:val="28"/>
          <w:szCs w:val="28"/>
        </w:rPr>
        <w:t>投标人业绩情况一览表</w:t>
      </w:r>
    </w:p>
    <w:p>
      <w:pPr>
        <w:pStyle w:val="4"/>
        <w:snapToGrid w:val="0"/>
        <w:spacing w:before="0" w:after="0"/>
        <w:rPr>
          <w:rFonts w:ascii="Times New Roman" w:hAnsi="Times New Roman" w:eastAsia="宋体"/>
          <w:sz w:val="24"/>
          <w:szCs w:val="24"/>
          <w:u w:val="single"/>
        </w:rPr>
      </w:pPr>
      <w:r>
        <w:rPr>
          <w:rFonts w:ascii="Times New Roman" w:hAnsi="Times New Roman" w:eastAsia="宋体"/>
          <w:sz w:val="24"/>
          <w:szCs w:val="24"/>
        </w:rPr>
        <w:t xml:space="preserve">投标人（公章）：                             </w:t>
      </w:r>
    </w:p>
    <w:tbl>
      <w:tblPr>
        <w:tblStyle w:val="19"/>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1701"/>
        <w:gridCol w:w="992"/>
        <w:gridCol w:w="851"/>
        <w:gridCol w:w="1276"/>
        <w:gridCol w:w="992"/>
        <w:gridCol w:w="992"/>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pPr>
            <w:r>
              <w:t>采购单位名称</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pPr>
            <w:r>
              <w:t>设备或项目名称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pPr>
            <w:r>
              <w:t>采购</w:t>
            </w:r>
          </w:p>
          <w:p>
            <w:pPr>
              <w:snapToGrid w:val="0"/>
              <w:jc w:val="center"/>
            </w:pPr>
            <w:r>
              <w:t>数量</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pPr>
            <w:r>
              <w:t>单价</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pPr>
            <w:r>
              <w:t>合同</w:t>
            </w:r>
          </w:p>
          <w:p>
            <w:pPr>
              <w:snapToGrid w:val="0"/>
              <w:jc w:val="center"/>
            </w:pPr>
            <w:r>
              <w:t>金额</w:t>
            </w:r>
          </w:p>
          <w:p>
            <w:pPr>
              <w:snapToGrid w:val="0"/>
              <w:jc w:val="center"/>
            </w:pPr>
            <w:r>
              <w:t>（万元）</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pPr>
            <w:r>
              <w:t>附件页码</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pPr>
            <w:r>
              <w:t>采购单位联系人及</w:t>
            </w:r>
          </w:p>
          <w:p>
            <w:pPr>
              <w:snapToGrid w:val="0"/>
              <w:jc w:val="center"/>
            </w:pPr>
            <w: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pPr>
            <w:r>
              <w:t>合</w:t>
            </w:r>
          </w:p>
          <w:p>
            <w:pPr>
              <w:snapToGrid w:val="0"/>
              <w:jc w:val="center"/>
            </w:pPr>
            <w:r>
              <w:t>同</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pPr>
            <w:r>
              <w:t>验收</w:t>
            </w:r>
          </w:p>
          <w:p>
            <w:pPr>
              <w:snapToGrid w:val="0"/>
              <w:jc w:val="center"/>
            </w:pPr>
            <w:r>
              <w:t>报告</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701"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851"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276"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559"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701"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851"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276"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559"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701"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851"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276"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559"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701"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851"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276"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992"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c>
          <w:tcPr>
            <w:tcW w:w="1559" w:type="dxa"/>
            <w:tcBorders>
              <w:top w:val="single" w:color="auto" w:sz="4" w:space="0"/>
              <w:left w:val="single" w:color="auto" w:sz="4" w:space="0"/>
              <w:bottom w:val="single" w:color="auto" w:sz="4" w:space="0"/>
              <w:right w:val="single" w:color="auto" w:sz="4" w:space="0"/>
            </w:tcBorders>
          </w:tcPr>
          <w:p>
            <w:pPr>
              <w:snapToGrid w:val="0"/>
              <w:spacing w:after="156" w:afterLines="50"/>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after="156" w:afterLines="50"/>
              <w:jc w:val="center"/>
            </w:pPr>
            <w:r>
              <w:t>备注</w:t>
            </w:r>
          </w:p>
        </w:tc>
        <w:tc>
          <w:tcPr>
            <w:tcW w:w="8363" w:type="dxa"/>
            <w:gridSpan w:val="7"/>
            <w:tcBorders>
              <w:top w:val="single" w:color="auto" w:sz="4" w:space="0"/>
              <w:left w:val="single" w:color="auto" w:sz="4" w:space="0"/>
              <w:bottom w:val="single" w:color="auto" w:sz="4" w:space="0"/>
              <w:right w:val="single" w:color="auto" w:sz="4" w:space="0"/>
            </w:tcBorders>
          </w:tcPr>
          <w:p>
            <w:pPr>
              <w:snapToGrid w:val="0"/>
              <w:spacing w:after="156" w:afterLines="50"/>
              <w:jc w:val="left"/>
            </w:pPr>
            <w:r>
              <w:t>提供投标人同类项目合同复印件、用户验收报告（如有）。</w:t>
            </w:r>
          </w:p>
        </w:tc>
      </w:tr>
    </w:tbl>
    <w:p>
      <w:pPr>
        <w:rPr>
          <w:kern w:val="0"/>
        </w:rPr>
      </w:pPr>
      <w:r>
        <w:rPr>
          <w:kern w:val="0"/>
        </w:rPr>
        <w:t xml:space="preserve"> 注：含多个标项的采购项目，投标人须按标项分别填报。</w:t>
      </w:r>
    </w:p>
    <w:p/>
    <w:p>
      <w:pPr>
        <w:snapToGrid w:val="0"/>
        <w:spacing w:before="156" w:beforeLines="50"/>
        <w:rPr>
          <w:u w:val="single"/>
        </w:rPr>
      </w:pPr>
      <w:r>
        <w:t>法定代表或授权代表签字：             日期：</w:t>
      </w:r>
    </w:p>
    <w:p>
      <w:pPr>
        <w:spacing w:line="360" w:lineRule="auto"/>
        <w:rPr>
          <w:spacing w:val="20"/>
        </w:rPr>
      </w:pPr>
    </w:p>
    <w:p>
      <w:pPr>
        <w:spacing w:line="360" w:lineRule="auto"/>
        <w:rPr>
          <w:spacing w:val="20"/>
        </w:rPr>
      </w:pPr>
    </w:p>
    <w:p>
      <w:pPr>
        <w:spacing w:line="360" w:lineRule="auto"/>
        <w:rPr>
          <w:spacing w:val="20"/>
        </w:rPr>
      </w:pPr>
    </w:p>
    <w:p>
      <w:pPr>
        <w:pStyle w:val="10"/>
        <w:snapToGrid w:val="0"/>
        <w:spacing w:line="360" w:lineRule="auto"/>
        <w:ind w:left="0"/>
        <w:rPr>
          <w:sz w:val="30"/>
          <w:szCs w:val="30"/>
        </w:rPr>
      </w:pPr>
    </w:p>
    <w:p>
      <w:pPr>
        <w:pStyle w:val="10"/>
        <w:snapToGrid w:val="0"/>
        <w:spacing w:line="360" w:lineRule="auto"/>
        <w:ind w:left="0"/>
        <w:rPr>
          <w:sz w:val="30"/>
          <w:szCs w:val="30"/>
        </w:rPr>
      </w:pPr>
    </w:p>
    <w:p/>
    <w:p/>
    <w:p/>
    <w:p/>
    <w:p/>
    <w:p/>
    <w:p/>
    <w:p/>
    <w:p/>
    <w:p>
      <w:pPr>
        <w:snapToGrid w:val="0"/>
        <w:spacing w:before="50" w:after="156" w:afterLines="50"/>
        <w:jc w:val="left"/>
        <w:rPr>
          <w:b/>
          <w:kern w:val="0"/>
          <w:sz w:val="32"/>
          <w:szCs w:val="32"/>
        </w:rPr>
      </w:pPr>
      <w:r>
        <w:rPr>
          <w:sz w:val="30"/>
          <w:szCs w:val="30"/>
        </w:rPr>
        <w:t>附件11：</w:t>
      </w:r>
    </w:p>
    <w:p>
      <w:pPr>
        <w:jc w:val="center"/>
        <w:rPr>
          <w:b/>
          <w:sz w:val="28"/>
          <w:szCs w:val="32"/>
        </w:rPr>
      </w:pPr>
      <w:r>
        <w:rPr>
          <w:b/>
          <w:sz w:val="28"/>
          <w:szCs w:val="32"/>
        </w:rPr>
        <w:t>采购需求实质性内容响应表</w:t>
      </w:r>
    </w:p>
    <w:p>
      <w:pPr>
        <w:pStyle w:val="4"/>
        <w:snapToGrid w:val="0"/>
        <w:spacing w:before="0" w:after="0"/>
        <w:rPr>
          <w:rFonts w:ascii="Times New Roman" w:hAnsi="Times New Roman" w:eastAsia="宋体"/>
          <w:b/>
          <w:kern w:val="0"/>
          <w:sz w:val="24"/>
          <w:szCs w:val="24"/>
        </w:rPr>
      </w:pPr>
      <w:r>
        <w:rPr>
          <w:rFonts w:ascii="Times New Roman" w:hAnsi="Times New Roman" w:eastAsia="宋体"/>
          <w:sz w:val="32"/>
          <w:szCs w:val="32"/>
        </w:rPr>
        <w:t xml:space="preserve">    </w:t>
      </w:r>
      <w:r>
        <w:rPr>
          <w:rFonts w:ascii="Times New Roman" w:hAnsi="Times New Roman" w:eastAsia="宋体"/>
          <w:sz w:val="24"/>
          <w:szCs w:val="24"/>
        </w:rPr>
        <w:t xml:space="preserve">投标人（公章）：                  </w:t>
      </w:r>
    </w:p>
    <w:tbl>
      <w:tblPr>
        <w:tblStyle w:val="19"/>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b/>
              </w:rPr>
            </w:pPr>
            <w:r>
              <w:rPr>
                <w:b/>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jc w:val="center"/>
              <w:rPr>
                <w:b/>
              </w:rPr>
            </w:pPr>
            <w:r>
              <w:rPr>
                <w:b/>
              </w:rPr>
              <w:t>实质性条款</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b/>
              </w:rPr>
            </w:pPr>
            <w:r>
              <w:rPr>
                <w:b/>
              </w:rPr>
              <w:t>招标文件要求</w:t>
            </w:r>
          </w:p>
        </w:tc>
        <w:tc>
          <w:tcPr>
            <w:tcW w:w="2414" w:type="dxa"/>
            <w:tcBorders>
              <w:top w:val="single" w:color="auto" w:sz="4" w:space="0"/>
              <w:left w:val="single" w:color="auto" w:sz="4" w:space="0"/>
              <w:bottom w:val="single" w:color="auto" w:sz="4" w:space="0"/>
              <w:right w:val="single" w:color="auto" w:sz="4" w:space="0"/>
            </w:tcBorders>
            <w:vAlign w:val="center"/>
          </w:tcPr>
          <w:p>
            <w:pPr>
              <w:rPr>
                <w:b/>
              </w:rPr>
            </w:pPr>
            <w:r>
              <w:rPr>
                <w:b/>
              </w:rPr>
              <w:t>投标承诺或说明</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b/>
              </w:rPr>
            </w:pPr>
            <w:r>
              <w:rPr>
                <w:b/>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r>
              <w:t>1</w:t>
            </w:r>
          </w:p>
        </w:tc>
        <w:tc>
          <w:tcPr>
            <w:tcW w:w="1855" w:type="dxa"/>
            <w:tcBorders>
              <w:top w:val="single" w:color="auto" w:sz="4" w:space="0"/>
              <w:left w:val="single" w:color="auto" w:sz="4" w:space="0"/>
              <w:bottom w:val="single" w:color="auto" w:sz="4" w:space="0"/>
              <w:right w:val="single" w:color="auto" w:sz="4" w:space="0"/>
            </w:tcBorders>
            <w:vAlign w:val="center"/>
          </w:tcPr>
          <w:p/>
        </w:tc>
        <w:tc>
          <w:tcPr>
            <w:tcW w:w="1957" w:type="dxa"/>
            <w:tcBorders>
              <w:top w:val="single" w:color="auto" w:sz="4" w:space="0"/>
              <w:left w:val="single" w:color="auto" w:sz="4" w:space="0"/>
              <w:bottom w:val="single" w:color="auto" w:sz="4" w:space="0"/>
              <w:right w:val="single" w:color="auto" w:sz="4" w:space="0"/>
            </w:tcBorders>
            <w:vAlign w:val="center"/>
          </w:tcPr>
          <w:p/>
        </w:tc>
        <w:tc>
          <w:tcPr>
            <w:tcW w:w="2414" w:type="dxa"/>
            <w:tcBorders>
              <w:top w:val="single" w:color="auto" w:sz="4" w:space="0"/>
              <w:left w:val="single" w:color="auto" w:sz="4" w:space="0"/>
              <w:bottom w:val="single" w:color="auto" w:sz="4" w:space="0"/>
              <w:right w:val="single" w:color="auto" w:sz="4" w:space="0"/>
            </w:tcBorders>
            <w:vAlign w:val="center"/>
          </w:tcPr>
          <w:p/>
        </w:tc>
        <w:tc>
          <w:tcPr>
            <w:tcW w:w="173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r>
              <w:t>2</w:t>
            </w:r>
          </w:p>
        </w:tc>
        <w:tc>
          <w:tcPr>
            <w:tcW w:w="1855" w:type="dxa"/>
            <w:tcBorders>
              <w:top w:val="single" w:color="auto" w:sz="4" w:space="0"/>
              <w:left w:val="single" w:color="auto" w:sz="4" w:space="0"/>
              <w:bottom w:val="single" w:color="auto" w:sz="4" w:space="0"/>
              <w:right w:val="single" w:color="auto" w:sz="4" w:space="0"/>
            </w:tcBorders>
            <w:vAlign w:val="center"/>
          </w:tcPr>
          <w:p/>
        </w:tc>
        <w:tc>
          <w:tcPr>
            <w:tcW w:w="1957" w:type="dxa"/>
            <w:tcBorders>
              <w:top w:val="single" w:color="auto" w:sz="4" w:space="0"/>
              <w:left w:val="single" w:color="auto" w:sz="4" w:space="0"/>
              <w:bottom w:val="single" w:color="auto" w:sz="4" w:space="0"/>
              <w:right w:val="single" w:color="auto" w:sz="4" w:space="0"/>
            </w:tcBorders>
            <w:vAlign w:val="center"/>
          </w:tcPr>
          <w:p/>
        </w:tc>
        <w:tc>
          <w:tcPr>
            <w:tcW w:w="2414" w:type="dxa"/>
            <w:tcBorders>
              <w:top w:val="single" w:color="auto" w:sz="4" w:space="0"/>
              <w:left w:val="single" w:color="auto" w:sz="4" w:space="0"/>
              <w:bottom w:val="single" w:color="auto" w:sz="4" w:space="0"/>
              <w:right w:val="single" w:color="auto" w:sz="4" w:space="0"/>
            </w:tcBorders>
            <w:vAlign w:val="center"/>
          </w:tcPr>
          <w:p/>
        </w:tc>
        <w:tc>
          <w:tcPr>
            <w:tcW w:w="173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r>
              <w:t>3</w:t>
            </w:r>
          </w:p>
        </w:tc>
        <w:tc>
          <w:tcPr>
            <w:tcW w:w="1855" w:type="dxa"/>
            <w:tcBorders>
              <w:top w:val="single" w:color="auto" w:sz="4" w:space="0"/>
              <w:left w:val="single" w:color="auto" w:sz="4" w:space="0"/>
              <w:bottom w:val="single" w:color="auto" w:sz="4" w:space="0"/>
              <w:right w:val="single" w:color="auto" w:sz="4" w:space="0"/>
            </w:tcBorders>
            <w:vAlign w:val="center"/>
          </w:tcPr>
          <w:p/>
        </w:tc>
        <w:tc>
          <w:tcPr>
            <w:tcW w:w="1957" w:type="dxa"/>
            <w:tcBorders>
              <w:top w:val="single" w:color="auto" w:sz="4" w:space="0"/>
              <w:left w:val="single" w:color="auto" w:sz="4" w:space="0"/>
              <w:bottom w:val="single" w:color="auto" w:sz="4" w:space="0"/>
              <w:right w:val="single" w:color="auto" w:sz="4" w:space="0"/>
            </w:tcBorders>
            <w:vAlign w:val="center"/>
          </w:tcPr>
          <w:p/>
        </w:tc>
        <w:tc>
          <w:tcPr>
            <w:tcW w:w="2414" w:type="dxa"/>
            <w:tcBorders>
              <w:top w:val="single" w:color="auto" w:sz="4" w:space="0"/>
              <w:left w:val="single" w:color="auto" w:sz="4" w:space="0"/>
              <w:bottom w:val="single" w:color="auto" w:sz="4" w:space="0"/>
              <w:right w:val="single" w:color="auto" w:sz="4" w:space="0"/>
            </w:tcBorders>
            <w:vAlign w:val="center"/>
          </w:tcPr>
          <w:p/>
        </w:tc>
        <w:tc>
          <w:tcPr>
            <w:tcW w:w="173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r>
              <w:t>4</w:t>
            </w:r>
          </w:p>
        </w:tc>
        <w:tc>
          <w:tcPr>
            <w:tcW w:w="1855" w:type="dxa"/>
            <w:tcBorders>
              <w:top w:val="single" w:color="auto" w:sz="4" w:space="0"/>
              <w:left w:val="single" w:color="auto" w:sz="4" w:space="0"/>
              <w:bottom w:val="single" w:color="auto" w:sz="4" w:space="0"/>
              <w:right w:val="single" w:color="auto" w:sz="4" w:space="0"/>
            </w:tcBorders>
            <w:vAlign w:val="center"/>
          </w:tcPr>
          <w:p/>
        </w:tc>
        <w:tc>
          <w:tcPr>
            <w:tcW w:w="1957" w:type="dxa"/>
            <w:tcBorders>
              <w:top w:val="single" w:color="auto" w:sz="4" w:space="0"/>
              <w:left w:val="single" w:color="auto" w:sz="4" w:space="0"/>
              <w:bottom w:val="single" w:color="auto" w:sz="4" w:space="0"/>
              <w:right w:val="single" w:color="auto" w:sz="4" w:space="0"/>
            </w:tcBorders>
            <w:vAlign w:val="center"/>
          </w:tcPr>
          <w:p/>
        </w:tc>
        <w:tc>
          <w:tcPr>
            <w:tcW w:w="2414" w:type="dxa"/>
            <w:tcBorders>
              <w:top w:val="single" w:color="auto" w:sz="4" w:space="0"/>
              <w:left w:val="single" w:color="auto" w:sz="4" w:space="0"/>
              <w:bottom w:val="single" w:color="auto" w:sz="4" w:space="0"/>
              <w:right w:val="single" w:color="auto" w:sz="4" w:space="0"/>
            </w:tcBorders>
            <w:vAlign w:val="center"/>
          </w:tcPr>
          <w:p/>
        </w:tc>
        <w:tc>
          <w:tcPr>
            <w:tcW w:w="1730" w:type="dxa"/>
            <w:tcBorders>
              <w:top w:val="single" w:color="auto" w:sz="4" w:space="0"/>
              <w:left w:val="single" w:color="auto" w:sz="4" w:space="0"/>
              <w:bottom w:val="single" w:color="auto" w:sz="4" w:space="0"/>
              <w:right w:val="single" w:color="auto" w:sz="4" w:space="0"/>
            </w:tcBorders>
            <w:vAlign w:val="center"/>
          </w:tcPr>
          <w:p/>
        </w:tc>
      </w:tr>
    </w:tbl>
    <w:p>
      <w:pPr>
        <w:adjustRightInd w:val="0"/>
        <w:snapToGrid w:val="0"/>
        <w:rPr>
          <w:kern w:val="0"/>
        </w:rPr>
      </w:pPr>
      <w:r>
        <w:rPr>
          <w:kern w:val="0"/>
        </w:rPr>
        <w:t>填表说明：</w:t>
      </w:r>
    </w:p>
    <w:p>
      <w:pPr>
        <w:numPr>
          <w:ilvl w:val="0"/>
          <w:numId w:val="4"/>
        </w:numPr>
        <w:adjustRightInd w:val="0"/>
        <w:snapToGrid w:val="0"/>
        <w:ind w:firstLine="480" w:firstLineChars="200"/>
        <w:rPr>
          <w:kern w:val="0"/>
          <w:lang w:val="zh-CN"/>
        </w:rPr>
      </w:pPr>
      <w:r>
        <w:rPr>
          <w:kern w:val="0"/>
          <w:lang w:val="zh-CN"/>
        </w:rPr>
        <w:t>“实质性条款”详见“第二章 招标需求”中带“</w:t>
      </w:r>
      <w:r>
        <w:rPr>
          <w:rFonts w:ascii="宋体" w:hAnsi="宋体"/>
          <w:kern w:val="0"/>
          <w:lang w:val="zh-CN"/>
        </w:rPr>
        <w:t>●</w:t>
      </w:r>
      <w:r>
        <w:rPr>
          <w:kern w:val="0"/>
          <w:lang w:val="zh-CN"/>
        </w:rPr>
        <w:t>”条款，如果采购需求中存在实质性条款，投标人须提供本表。</w:t>
      </w:r>
    </w:p>
    <w:p>
      <w:pPr>
        <w:numPr>
          <w:ilvl w:val="0"/>
          <w:numId w:val="4"/>
        </w:numPr>
        <w:adjustRightInd w:val="0"/>
        <w:snapToGrid w:val="0"/>
        <w:ind w:firstLine="480" w:firstLineChars="200"/>
        <w:rPr>
          <w:kern w:val="0"/>
        </w:rPr>
      </w:pPr>
      <w:r>
        <w:rPr>
          <w:kern w:val="0"/>
          <w:lang w:val="zh-CN"/>
        </w:rPr>
        <w:t>本表中所列条款仅供参考，</w:t>
      </w:r>
      <w:r>
        <w:rPr>
          <w:kern w:val="0"/>
        </w:rPr>
        <w:t>投标人应根据投标承诺或说明、对照招标文件要求在“满足情况”栏注明“满足”或“不满足”；</w:t>
      </w:r>
    </w:p>
    <w:p>
      <w:pPr>
        <w:numPr>
          <w:ilvl w:val="0"/>
          <w:numId w:val="4"/>
        </w:numPr>
        <w:adjustRightInd w:val="0"/>
        <w:snapToGrid w:val="0"/>
        <w:ind w:firstLine="480" w:firstLineChars="200"/>
        <w:rPr>
          <w:kern w:val="0"/>
          <w:lang w:val="zh-CN"/>
        </w:rPr>
      </w:pPr>
      <w:r>
        <w:rPr>
          <w:kern w:val="0"/>
          <w:lang w:val="zh-CN"/>
        </w:rPr>
        <w:t>本项目“第二章 招标需求”中所有带“</w:t>
      </w:r>
      <w:r>
        <w:rPr>
          <w:rFonts w:ascii="宋体" w:hAnsi="宋体"/>
          <w:kern w:val="0"/>
          <w:lang w:val="zh-CN"/>
        </w:rPr>
        <w:t>●</w:t>
      </w:r>
      <w:r>
        <w:rPr>
          <w:kern w:val="0"/>
          <w:lang w:val="zh-CN"/>
        </w:rPr>
        <w:t>”条款，投标人必须作出实质性响应，如有任意一条未响应或不满足，将被视为无效。</w:t>
      </w:r>
    </w:p>
    <w:p>
      <w:pPr>
        <w:rPr>
          <w:kern w:val="0"/>
        </w:rPr>
      </w:pPr>
      <w:r>
        <w:rPr>
          <w:kern w:val="0"/>
        </w:rPr>
        <w:t xml:space="preserve">    4、含多个标项的采购项目，投标人须按标项分别填报，未注明标项，</w:t>
      </w:r>
      <w:r>
        <w:rPr>
          <w:kern w:val="0"/>
          <w:lang w:val="zh-CN"/>
        </w:rPr>
        <w:t>视作投标无效</w:t>
      </w:r>
      <w:r>
        <w:rPr>
          <w:kern w:val="0"/>
        </w:rPr>
        <w:t>。</w:t>
      </w:r>
    </w:p>
    <w:p>
      <w:pPr>
        <w:adjustRightInd w:val="0"/>
        <w:snapToGrid w:val="0"/>
        <w:rPr>
          <w:kern w:val="0"/>
          <w:sz w:val="32"/>
          <w:szCs w:val="32"/>
          <w:lang w:val="zh-CN"/>
        </w:rPr>
      </w:pPr>
    </w:p>
    <w:p>
      <w:pPr>
        <w:rPr>
          <w:kern w:val="0"/>
          <w:sz w:val="32"/>
          <w:szCs w:val="32"/>
        </w:rPr>
      </w:pPr>
      <w:r>
        <w:rPr>
          <w:kern w:val="0"/>
          <w:sz w:val="32"/>
          <w:szCs w:val="32"/>
          <w:lang w:val="zh-CN"/>
        </w:rPr>
        <w:t xml:space="preserve">  </w:t>
      </w:r>
    </w:p>
    <w:p>
      <w:pPr>
        <w:autoSpaceDE w:val="0"/>
        <w:autoSpaceDN w:val="0"/>
        <w:adjustRightInd w:val="0"/>
        <w:rPr>
          <w:kern w:val="0"/>
          <w:sz w:val="32"/>
          <w:szCs w:val="32"/>
          <w:lang w:val="zh-CN"/>
        </w:rPr>
      </w:pPr>
    </w:p>
    <w:p>
      <w:pPr>
        <w:autoSpaceDE w:val="0"/>
        <w:autoSpaceDN w:val="0"/>
        <w:adjustRightInd w:val="0"/>
        <w:jc w:val="right"/>
        <w:rPr>
          <w:kern w:val="0"/>
          <w:sz w:val="32"/>
          <w:szCs w:val="32"/>
          <w:lang w:val="zh-CN"/>
        </w:rPr>
      </w:pPr>
      <w:r>
        <w:rPr>
          <w:kern w:val="0"/>
          <w:sz w:val="32"/>
          <w:szCs w:val="32"/>
          <w:lang w:val="zh-CN"/>
        </w:rPr>
        <w:t xml:space="preserve">                   </w:t>
      </w:r>
    </w:p>
    <w:p>
      <w:r>
        <w:rPr>
          <w:kern w:val="0"/>
          <w:lang w:val="zh-CN"/>
        </w:rPr>
        <w:t xml:space="preserve"> </w:t>
      </w:r>
      <w:r>
        <w:rPr>
          <w:kern w:val="0"/>
        </w:rPr>
        <w:t>法定代表或</w:t>
      </w:r>
      <w:r>
        <w:rPr>
          <w:kern w:val="0"/>
          <w:lang w:val="zh-CN"/>
        </w:rPr>
        <w:t xml:space="preserve">授权代表签字：     </w:t>
      </w:r>
      <w:r>
        <w:rPr>
          <w:kern w:val="0"/>
        </w:rPr>
        <w:t xml:space="preserve">                </w:t>
      </w:r>
      <w:r>
        <w:rPr>
          <w:kern w:val="0"/>
          <w:lang w:val="zh-CN"/>
        </w:rPr>
        <w:t>日期：</w:t>
      </w:r>
    </w:p>
    <w:p>
      <w:pPr>
        <w:rPr>
          <w:sz w:val="32"/>
          <w:szCs w:val="32"/>
        </w:rPr>
      </w:pPr>
    </w:p>
    <w:p>
      <w:pPr>
        <w:spacing w:line="360" w:lineRule="auto"/>
        <w:rPr>
          <w:sz w:val="36"/>
          <w:szCs w:val="36"/>
        </w:rPr>
      </w:pPr>
      <w:r>
        <w:rPr>
          <w:kern w:val="0"/>
          <w:sz w:val="30"/>
          <w:szCs w:val="30"/>
          <w:lang w:val="zh-CN"/>
        </w:rPr>
        <w:t xml:space="preserve">  </w:t>
      </w:r>
      <w:r>
        <w:rPr>
          <w:kern w:val="0"/>
          <w:sz w:val="30"/>
          <w:szCs w:val="30"/>
          <w:lang w:val="zh-CN"/>
        </w:rPr>
        <w:br w:type="page"/>
      </w:r>
    </w:p>
    <w:p>
      <w:pPr>
        <w:pStyle w:val="17"/>
      </w:pPr>
      <w:bookmarkStart w:id="57" w:name="_Toc63585697"/>
      <w:bookmarkStart w:id="58" w:name="_Toc63585743"/>
      <w:bookmarkStart w:id="59" w:name="_Toc57621910"/>
      <w:bookmarkStart w:id="60" w:name="_Toc66264912"/>
      <w:bookmarkStart w:id="61" w:name="_Toc63585255"/>
      <w:r>
        <w:t>3、报价文件目录</w:t>
      </w:r>
      <w:bookmarkEnd w:id="57"/>
      <w:bookmarkEnd w:id="58"/>
      <w:bookmarkEnd w:id="59"/>
      <w:bookmarkEnd w:id="60"/>
      <w:bookmarkEnd w:id="61"/>
    </w:p>
    <w:p>
      <w:pPr>
        <w:rPr>
          <w:sz w:val="28"/>
          <w:szCs w:val="28"/>
        </w:rPr>
      </w:pPr>
    </w:p>
    <w:p>
      <w:pPr>
        <w:rPr>
          <w:szCs w:val="30"/>
        </w:rPr>
      </w:pPr>
      <w:r>
        <w:rPr>
          <w:sz w:val="30"/>
          <w:szCs w:val="30"/>
        </w:rPr>
        <w:t xml:space="preserve">  </w:t>
      </w:r>
      <w:r>
        <w:rPr>
          <w:szCs w:val="30"/>
        </w:rPr>
        <w:t>（1）</w:t>
      </w:r>
      <w:r>
        <w:rPr>
          <w:kern w:val="0"/>
          <w:szCs w:val="30"/>
        </w:rPr>
        <w:t>开标一览表；</w:t>
      </w:r>
    </w:p>
    <w:p>
      <w:pPr>
        <w:pStyle w:val="10"/>
        <w:snapToGrid w:val="0"/>
        <w:ind w:left="0"/>
        <w:rPr>
          <w:sz w:val="24"/>
          <w:szCs w:val="30"/>
        </w:rPr>
      </w:pPr>
      <w:r>
        <w:rPr>
          <w:sz w:val="24"/>
          <w:szCs w:val="30"/>
        </w:rPr>
        <w:t xml:space="preserve">  （2）投标报价明细表；</w:t>
      </w:r>
    </w:p>
    <w:p>
      <w:pPr>
        <w:pStyle w:val="10"/>
        <w:snapToGrid w:val="0"/>
        <w:ind w:left="0"/>
        <w:rPr>
          <w:sz w:val="24"/>
          <w:szCs w:val="30"/>
        </w:rPr>
      </w:pPr>
      <w:r>
        <w:rPr>
          <w:sz w:val="24"/>
          <w:szCs w:val="30"/>
        </w:rPr>
        <w:t xml:space="preserve">  （3）中小微企业声明函； </w:t>
      </w:r>
    </w:p>
    <w:p>
      <w:pPr>
        <w:pStyle w:val="10"/>
        <w:snapToGrid w:val="0"/>
        <w:ind w:left="0"/>
        <w:rPr>
          <w:sz w:val="22"/>
        </w:rPr>
      </w:pPr>
      <w:r>
        <w:rPr>
          <w:sz w:val="24"/>
          <w:szCs w:val="30"/>
        </w:rPr>
        <w:t xml:space="preserve">  （4）残疾人福利企业声明函；</w:t>
      </w:r>
    </w:p>
    <w:p>
      <w:pPr>
        <w:pStyle w:val="16"/>
        <w:jc w:val="both"/>
        <w:rPr>
          <w:rFonts w:eastAsia="宋体"/>
          <w:szCs w:val="30"/>
        </w:rPr>
      </w:pPr>
      <w:r>
        <w:rPr>
          <w:rFonts w:eastAsia="宋体"/>
          <w:szCs w:val="30"/>
        </w:rPr>
        <w:t xml:space="preserve">  （5）投标人针对报价需要说明的其他文件和说明。</w:t>
      </w:r>
    </w:p>
    <w:p>
      <w:pPr>
        <w:spacing w:line="360" w:lineRule="auto"/>
        <w:rPr>
          <w:bCs/>
          <w:kern w:val="0"/>
          <w:sz w:val="28"/>
          <w:szCs w:val="28"/>
        </w:rPr>
      </w:pPr>
      <w:r>
        <w:br w:type="page"/>
      </w:r>
      <w:r>
        <w:rPr>
          <w:bCs/>
          <w:kern w:val="0"/>
          <w:sz w:val="28"/>
          <w:szCs w:val="28"/>
        </w:rPr>
        <w:t>附件12：</w:t>
      </w:r>
    </w:p>
    <w:p>
      <w:pPr>
        <w:jc w:val="center"/>
        <w:rPr>
          <w:b/>
          <w:kern w:val="0"/>
          <w:sz w:val="28"/>
          <w:szCs w:val="32"/>
        </w:rPr>
      </w:pPr>
      <w:r>
        <w:rPr>
          <w:b/>
          <w:kern w:val="0"/>
          <w:sz w:val="28"/>
          <w:szCs w:val="32"/>
        </w:rPr>
        <w:t>开标一览表</w:t>
      </w:r>
    </w:p>
    <w:p>
      <w:pPr>
        <w:pStyle w:val="4"/>
        <w:snapToGrid w:val="0"/>
        <w:spacing w:before="0" w:after="0"/>
        <w:rPr>
          <w:rFonts w:ascii="Times New Roman" w:hAnsi="Times New Roman" w:eastAsia="宋体"/>
          <w:b/>
          <w:kern w:val="0"/>
          <w:sz w:val="24"/>
          <w:szCs w:val="24"/>
        </w:rPr>
      </w:pPr>
      <w:r>
        <w:rPr>
          <w:rFonts w:ascii="Times New Roman" w:hAnsi="Times New Roman" w:eastAsia="宋体"/>
          <w:sz w:val="30"/>
          <w:szCs w:val="30"/>
        </w:rPr>
        <w:t xml:space="preserve"> </w:t>
      </w:r>
      <w:r>
        <w:rPr>
          <w:rFonts w:ascii="Times New Roman" w:hAnsi="Times New Roman" w:eastAsia="宋体"/>
          <w:sz w:val="24"/>
          <w:szCs w:val="24"/>
        </w:rPr>
        <w:t xml:space="preserve">投标人（公章）：                </w:t>
      </w:r>
      <w:r>
        <w:rPr>
          <w:rFonts w:hint="eastAsia" w:ascii="Times New Roman" w:hAnsi="Times New Roman" w:eastAsia="宋体"/>
          <w:sz w:val="24"/>
          <w:szCs w:val="24"/>
        </w:rPr>
        <w:t>标项序号：</w:t>
      </w:r>
    </w:p>
    <w:tbl>
      <w:tblPr>
        <w:tblStyle w:val="19"/>
        <w:tblW w:w="93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vAlign w:val="center"/>
          </w:tcPr>
          <w:p>
            <w:pPr>
              <w:autoSpaceDE w:val="0"/>
              <w:autoSpaceDN w:val="0"/>
              <w:adjustRightInd w:val="0"/>
              <w:jc w:val="center"/>
              <w:rPr>
                <w:b/>
                <w:kern w:val="0"/>
              </w:rPr>
            </w:pPr>
            <w:r>
              <w:rPr>
                <w:b/>
                <w:kern w:val="0"/>
              </w:rPr>
              <w:t>本项目投标总报价</w:t>
            </w:r>
          </w:p>
        </w:tc>
        <w:tc>
          <w:tcPr>
            <w:tcW w:w="6720" w:type="dxa"/>
            <w:tcBorders>
              <w:top w:val="single" w:color="auto" w:sz="4" w:space="0"/>
              <w:left w:val="single" w:color="auto" w:sz="4" w:space="0"/>
              <w:bottom w:val="double" w:color="auto" w:sz="4" w:space="0"/>
              <w:right w:val="double" w:color="auto" w:sz="4" w:space="0"/>
            </w:tcBorders>
            <w:vAlign w:val="center"/>
          </w:tcPr>
          <w:p>
            <w:pPr>
              <w:autoSpaceDE w:val="0"/>
              <w:autoSpaceDN w:val="0"/>
              <w:adjustRightInd w:val="0"/>
              <w:rPr>
                <w:b/>
                <w:kern w:val="0"/>
              </w:rPr>
            </w:pPr>
          </w:p>
          <w:p>
            <w:pPr>
              <w:autoSpaceDE w:val="0"/>
              <w:autoSpaceDN w:val="0"/>
              <w:adjustRightInd w:val="0"/>
              <w:jc w:val="left"/>
              <w:rPr>
                <w:b/>
                <w:kern w:val="0"/>
              </w:rPr>
            </w:pPr>
            <w:r>
              <w:rPr>
                <w:b/>
                <w:kern w:val="0"/>
              </w:rPr>
              <w:t>大写：</w:t>
            </w:r>
            <w:r>
              <w:rPr>
                <w:b/>
              </w:rPr>
              <w:t>人民币              元整</w:t>
            </w:r>
          </w:p>
          <w:p>
            <w:pPr>
              <w:autoSpaceDE w:val="0"/>
              <w:autoSpaceDN w:val="0"/>
              <w:adjustRightInd w:val="0"/>
              <w:jc w:val="left"/>
              <w:rPr>
                <w:b/>
                <w:kern w:val="0"/>
              </w:rPr>
            </w:pPr>
          </w:p>
          <w:p>
            <w:pPr>
              <w:autoSpaceDE w:val="0"/>
              <w:autoSpaceDN w:val="0"/>
              <w:adjustRightInd w:val="0"/>
              <w:jc w:val="left"/>
              <w:rPr>
                <w:b/>
                <w:kern w:val="0"/>
              </w:rPr>
            </w:pPr>
            <w:r>
              <w:rPr>
                <w:b/>
                <w:kern w:val="0"/>
              </w:rPr>
              <w:t>小写：</w:t>
            </w:r>
            <w:r>
              <w:rPr>
                <w:b/>
              </w:rPr>
              <w:t>￥</w:t>
            </w:r>
          </w:p>
        </w:tc>
      </w:tr>
    </w:tbl>
    <w:p>
      <w:pPr>
        <w:autoSpaceDE w:val="0"/>
        <w:autoSpaceDN w:val="0"/>
        <w:adjustRightInd w:val="0"/>
        <w:rPr>
          <w:kern w:val="0"/>
        </w:rPr>
      </w:pPr>
      <w:r>
        <w:rPr>
          <w:kern w:val="0"/>
        </w:rPr>
        <w:t xml:space="preserve"> 备注：1、大写总价与小写总价不一致，以大写总价为准。</w:t>
      </w:r>
    </w:p>
    <w:p>
      <w:pPr>
        <w:autoSpaceDE w:val="0"/>
        <w:autoSpaceDN w:val="0"/>
        <w:adjustRightInd w:val="0"/>
        <w:rPr>
          <w:kern w:val="0"/>
        </w:rPr>
      </w:pPr>
      <w:r>
        <w:rPr>
          <w:kern w:val="0"/>
        </w:rPr>
        <w:t xml:space="preserve">       2、含多个标项的采购项目，投标人须按标项分别填报，未注明标项，</w:t>
      </w:r>
      <w:r>
        <w:rPr>
          <w:kern w:val="0"/>
          <w:lang w:val="zh-CN"/>
        </w:rPr>
        <w:t>视作投标无效</w:t>
      </w:r>
      <w:r>
        <w:rPr>
          <w:kern w:val="0"/>
        </w:rPr>
        <w:t>。</w:t>
      </w:r>
    </w:p>
    <w:p>
      <w:pPr>
        <w:rPr>
          <w:kern w:val="0"/>
          <w:lang w:val="zh-CN"/>
        </w:rPr>
      </w:pPr>
      <w:r>
        <w:rPr>
          <w:kern w:val="0"/>
          <w:lang w:val="zh-CN"/>
        </w:rPr>
        <w:t xml:space="preserve"> </w:t>
      </w:r>
    </w:p>
    <w:p>
      <w:r>
        <w:rPr>
          <w:kern w:val="0"/>
        </w:rPr>
        <w:t>法定代表或</w:t>
      </w:r>
      <w:r>
        <w:rPr>
          <w:kern w:val="0"/>
          <w:lang w:val="zh-CN"/>
        </w:rPr>
        <w:t xml:space="preserve">授权代表签字：     </w:t>
      </w:r>
      <w:r>
        <w:rPr>
          <w:kern w:val="0"/>
        </w:rPr>
        <w:t xml:space="preserve">                </w:t>
      </w:r>
      <w:r>
        <w:rPr>
          <w:kern w:val="0"/>
          <w:lang w:val="zh-CN"/>
        </w:rPr>
        <w:t>日期：</w:t>
      </w:r>
    </w:p>
    <w:p>
      <w:pPr>
        <w:rPr>
          <w:spacing w:val="20"/>
        </w:rPr>
      </w:pPr>
    </w:p>
    <w:p>
      <w:pPr>
        <w:spacing w:line="360" w:lineRule="auto"/>
        <w:rPr>
          <w:spacing w:val="6"/>
          <w:sz w:val="30"/>
          <w:szCs w:val="30"/>
        </w:rPr>
      </w:pPr>
      <w:r>
        <w:rPr>
          <w:spacing w:val="6"/>
          <w:sz w:val="30"/>
          <w:szCs w:val="30"/>
        </w:rPr>
        <w:br w:type="page"/>
      </w:r>
      <w:r>
        <w:rPr>
          <w:spacing w:val="6"/>
          <w:sz w:val="30"/>
          <w:szCs w:val="30"/>
        </w:rPr>
        <w:t xml:space="preserve">附件13： </w:t>
      </w:r>
    </w:p>
    <w:p>
      <w:pPr>
        <w:snapToGrid w:val="0"/>
        <w:jc w:val="center"/>
        <w:rPr>
          <w:b/>
          <w:sz w:val="28"/>
        </w:rPr>
      </w:pPr>
      <w:r>
        <w:rPr>
          <w:b/>
          <w:sz w:val="28"/>
        </w:rPr>
        <w:t>中小微企业声明函</w:t>
      </w:r>
    </w:p>
    <w:p>
      <w:pPr>
        <w:snapToGrid w:val="0"/>
        <w:rPr>
          <w:sz w:val="28"/>
          <w:szCs w:val="28"/>
        </w:rPr>
      </w:pPr>
    </w:p>
    <w:p>
      <w:pPr>
        <w:snapToGrid w:val="0"/>
        <w:ind w:firstLine="480" w:firstLineChars="200"/>
      </w:pPr>
      <w:r>
        <w:t>本公司郑重声明，根据《政府采购促进中小企业发展暂行办法》（财库〔2011〕181号）的规定，本公司为（请填写：小型、微型）企业。即，本公司同时满足以下条件：</w:t>
      </w:r>
    </w:p>
    <w:p>
      <w:pPr>
        <w:snapToGrid w:val="0"/>
        <w:ind w:firstLine="480" w:firstLineChars="200"/>
      </w:pPr>
      <w:r>
        <w:t>1、根据《工业和信息化部、国家统计局、国家发展和改革委员会、财政部关于印发中小企业划型标准规定的通知》（工信部联企业〔2011〕300号）规定的划分标准，本公司为（请填写：小型、微型）企业。</w:t>
      </w:r>
    </w:p>
    <w:p>
      <w:pPr>
        <w:snapToGrid w:val="0"/>
        <w:ind w:firstLine="480" w:firstLineChars="200"/>
      </w:pPr>
      <w:r>
        <w:t>2、本公司参加单位的项目采购活动提供本企业制造的货物，由本企业承担工程、提供服务，或者提供其他（请填写：小型、微型）企业制造的货物。本条所称货物不包括使用大型企业注册商标的货物。</w:t>
      </w:r>
    </w:p>
    <w:p>
      <w:pPr>
        <w:snapToGrid w:val="0"/>
        <w:ind w:firstLine="480" w:firstLineChars="200"/>
      </w:pPr>
      <w:r>
        <w:t>本公司对上述声明的真实性负责。如有虚假，将依法承担相应责任。</w:t>
      </w:r>
    </w:p>
    <w:p>
      <w:pPr>
        <w:snapToGrid w:val="0"/>
        <w:jc w:val="center"/>
      </w:pPr>
      <w:r>
        <w:t xml:space="preserve">       </w:t>
      </w:r>
    </w:p>
    <w:p>
      <w:pPr>
        <w:snapToGrid w:val="0"/>
        <w:jc w:val="center"/>
      </w:pPr>
      <w:r>
        <w:t>企业名称（盖章）：</w:t>
      </w:r>
    </w:p>
    <w:p>
      <w:pPr>
        <w:snapToGrid w:val="0"/>
        <w:jc w:val="center"/>
      </w:pPr>
      <w:r>
        <w:t xml:space="preserve">  日  期：</w:t>
      </w:r>
    </w:p>
    <w:p>
      <w:pPr>
        <w:snapToGrid w:val="0"/>
        <w:ind w:firstLine="602" w:firstLineChars="250"/>
        <w:rPr>
          <w:b/>
        </w:rPr>
      </w:pPr>
      <w:r>
        <w:rPr>
          <w:b/>
        </w:rPr>
        <w:t>备注说明：</w:t>
      </w:r>
    </w:p>
    <w:p>
      <w:pPr>
        <w:snapToGrid w:val="0"/>
        <w:ind w:firstLine="600" w:firstLineChars="250"/>
      </w:pPr>
      <w:r>
        <w:t>1、《中小微企业声明函》中，须同时满足以上两个条件。如投标人提供非本企业制造的货物，须提供制造商“国家企业信用信息公示系统——小微企业名录”页面查询结果（查询时间为投标前一周内，并加盖投标人公章）；</w:t>
      </w:r>
    </w:p>
    <w:p>
      <w:pPr>
        <w:snapToGrid w:val="0"/>
        <w:ind w:firstLine="600" w:firstLineChars="250"/>
      </w:pPr>
      <w:r>
        <w:t>2、如联合体投标时，联合体各方均为小型、微型企业的，联合体各方须提供《中小微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spacing w:line="360" w:lineRule="auto"/>
        <w:rPr>
          <w:spacing w:val="6"/>
          <w:sz w:val="30"/>
          <w:szCs w:val="30"/>
        </w:rPr>
      </w:pPr>
      <w:r>
        <w:rPr>
          <w:spacing w:val="6"/>
          <w:sz w:val="30"/>
          <w:szCs w:val="30"/>
        </w:rPr>
        <w:br w:type="page"/>
      </w:r>
    </w:p>
    <w:p>
      <w:pPr>
        <w:spacing w:line="360" w:lineRule="auto"/>
        <w:rPr>
          <w:spacing w:val="6"/>
          <w:sz w:val="30"/>
          <w:szCs w:val="30"/>
        </w:rPr>
      </w:pPr>
      <w:r>
        <w:rPr>
          <w:spacing w:val="6"/>
          <w:sz w:val="30"/>
          <w:szCs w:val="30"/>
        </w:rPr>
        <w:t>附件14：</w:t>
      </w:r>
    </w:p>
    <w:p>
      <w:pPr>
        <w:jc w:val="center"/>
        <w:rPr>
          <w:b/>
          <w:spacing w:val="6"/>
          <w:sz w:val="28"/>
          <w:szCs w:val="28"/>
        </w:rPr>
      </w:pPr>
      <w:bookmarkStart w:id="62" w:name="OLE_LINK13"/>
      <w:bookmarkStart w:id="63" w:name="OLE_LINK14"/>
      <w:r>
        <w:rPr>
          <w:b/>
          <w:spacing w:val="6"/>
          <w:sz w:val="28"/>
          <w:szCs w:val="28"/>
        </w:rPr>
        <w:t>残疾人福利性单位声明函</w:t>
      </w:r>
    </w:p>
    <w:bookmarkEnd w:id="62"/>
    <w:bookmarkEnd w:id="63"/>
    <w:p>
      <w:pPr>
        <w:rPr>
          <w:b/>
          <w:spacing w:val="6"/>
          <w:sz w:val="30"/>
          <w:szCs w:val="30"/>
        </w:rPr>
      </w:pPr>
    </w:p>
    <w:p>
      <w:pPr>
        <w:ind w:firstLine="504" w:firstLineChars="200"/>
        <w:rPr>
          <w:spacing w:val="6"/>
        </w:rPr>
      </w:pPr>
      <w:r>
        <w:rPr>
          <w:spacing w:val="6"/>
        </w:rPr>
        <w:t>本单位郑重声明，根据《财政部 民政部 中国残疾人联合会关于促进残疾人就业政府采购政策的通知》（财库</w:t>
      </w:r>
      <w:r>
        <w:t>〔2017〕 141</w:t>
      </w:r>
      <w:r>
        <w:rPr>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504" w:firstLineChars="200"/>
        <w:rPr>
          <w:spacing w:val="6"/>
        </w:rPr>
      </w:pPr>
      <w:r>
        <w:rPr>
          <w:spacing w:val="6"/>
        </w:rPr>
        <w:t>本单位对上述声明的真实性负责。如有虚假，将依法承担相应责任。</w:t>
      </w:r>
    </w:p>
    <w:p>
      <w:pPr>
        <w:ind w:firstLine="504" w:firstLineChars="200"/>
        <w:rPr>
          <w:spacing w:val="6"/>
        </w:rPr>
      </w:pPr>
    </w:p>
    <w:p>
      <w:pPr>
        <w:ind w:firstLine="504" w:firstLineChars="200"/>
        <w:rPr>
          <w:spacing w:val="6"/>
        </w:rPr>
      </w:pPr>
    </w:p>
    <w:p>
      <w:pPr>
        <w:tabs>
          <w:tab w:val="left" w:pos="4860"/>
        </w:tabs>
        <w:ind w:right="1560" w:firstLine="504" w:firstLineChars="200"/>
        <w:jc w:val="center"/>
        <w:rPr>
          <w:spacing w:val="6"/>
        </w:rPr>
      </w:pPr>
      <w:r>
        <w:rPr>
          <w:spacing w:val="6"/>
        </w:rPr>
        <w:t xml:space="preserve">               单位名称（盖章）：</w:t>
      </w:r>
    </w:p>
    <w:p>
      <w:pPr>
        <w:tabs>
          <w:tab w:val="left" w:pos="4860"/>
        </w:tabs>
        <w:ind w:right="1560" w:firstLine="504" w:firstLineChars="200"/>
        <w:jc w:val="center"/>
        <w:rPr>
          <w:spacing w:val="6"/>
        </w:rPr>
      </w:pPr>
      <w:r>
        <w:rPr>
          <w:spacing w:val="6"/>
        </w:rPr>
        <w:t xml:space="preserve">       日  期：</w:t>
      </w:r>
    </w:p>
    <w:p>
      <w:pPr>
        <w:tabs>
          <w:tab w:val="left" w:pos="0"/>
        </w:tabs>
        <w:spacing w:line="360" w:lineRule="auto"/>
        <w:ind w:firstLine="540" w:firstLineChars="225"/>
        <w:jc w:val="center"/>
      </w:pPr>
    </w:p>
    <w:p/>
    <w:p/>
    <w:sectPr>
      <w:headerReference r:id="rId8" w:type="default"/>
      <w:footerReference r:id="rId9" w:type="default"/>
      <w:pgSz w:w="11906" w:h="16838"/>
      <w:pgMar w:top="1021" w:right="1134" w:bottom="1021" w:left="1134"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33</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t>6</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i/>
      </w:rPr>
    </w:pPr>
    <w:r>
      <w:fldChar w:fldCharType="begin"/>
    </w:r>
    <w:r>
      <w:instrText xml:space="preserve">PAGE   \* MERGEFORMAT</w:instrText>
    </w:r>
    <w:r>
      <w:fldChar w:fldCharType="separate"/>
    </w:r>
    <w:r>
      <w:t>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4200"/>
        <w:tab w:val="left" w:pos="4620"/>
        <w:tab w:val="left" w:pos="5040"/>
        <w:tab w:val="left" w:pos="5460"/>
        <w:tab w:val="left" w:pos="5880"/>
        <w:tab w:val="clear" w:pos="8306"/>
      </w:tabs>
      <w:jc w:val="right"/>
    </w:pPr>
    <w:r>
      <w:tab/>
    </w:r>
    <w:r>
      <w:tab/>
    </w:r>
    <w:r>
      <w:tab/>
    </w:r>
    <w:r>
      <w:tab/>
    </w:r>
    <w:r>
      <w:tab/>
    </w:r>
    <w:r>
      <w:tab/>
    </w:r>
    <w:r>
      <w:tab/>
    </w:r>
    <w:r>
      <w:rPr>
        <w:rFonts w:hint="eastAsia"/>
        <w:i/>
        <w:iCs/>
      </w:rPr>
      <w:t>临平区政府采购公开招标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14DB2"/>
    <w:multiLevelType w:val="multilevel"/>
    <w:tmpl w:val="34E14DB2"/>
    <w:lvl w:ilvl="0" w:tentative="0">
      <w:start w:val="2"/>
      <w:numFmt w:val="chineseCounting"/>
      <w:suff w:val="nothing"/>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CC12C72"/>
    <w:multiLevelType w:val="singleLevel"/>
    <w:tmpl w:val="5CC12C72"/>
    <w:lvl w:ilvl="0" w:tentative="0">
      <w:start w:val="1"/>
      <w:numFmt w:val="decimal"/>
      <w:suff w:val="nothing"/>
      <w:lvlText w:val="%1、"/>
      <w:lvlJc w:val="left"/>
    </w:lvl>
  </w:abstractNum>
  <w:abstractNum w:abstractNumId="2">
    <w:nsid w:val="5D71DCF0"/>
    <w:multiLevelType w:val="singleLevel"/>
    <w:tmpl w:val="5D71DCF0"/>
    <w:lvl w:ilvl="0" w:tentative="0">
      <w:start w:val="1"/>
      <w:numFmt w:val="decimal"/>
      <w:suff w:val="nothing"/>
      <w:lvlText w:val="%1、"/>
      <w:lvlJc w:val="left"/>
    </w:lvl>
  </w:abstractNum>
  <w:abstractNum w:abstractNumId="3">
    <w:nsid w:val="60D52B10"/>
    <w:multiLevelType w:val="singleLevel"/>
    <w:tmpl w:val="60D52B10"/>
    <w:lvl w:ilvl="0" w:tentative="0">
      <w:start w:val="1"/>
      <w:numFmt w:val="chineseCounting"/>
      <w:suff w:val="nothing"/>
      <w:lvlText w:val="（%1）"/>
      <w:lvlJc w:val="left"/>
    </w:lvl>
  </w:abstractNum>
  <w:num w:numId="1">
    <w:abstractNumId w:val="3"/>
  </w:num>
  <w:num w:numId="2">
    <w:abstractNumId w:val="2"/>
  </w:num>
  <w:num w:numId="3">
    <w:abstractNumId w:val="0"/>
    <w:lvlOverride w:ilvl="0">
      <w:startOverride w:val="2"/>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81"/>
    <w:rsid w:val="00010D39"/>
    <w:rsid w:val="000424E5"/>
    <w:rsid w:val="00046CA3"/>
    <w:rsid w:val="000505F1"/>
    <w:rsid w:val="00054271"/>
    <w:rsid w:val="000922C0"/>
    <w:rsid w:val="00094BD6"/>
    <w:rsid w:val="000A3F9A"/>
    <w:rsid w:val="000B1995"/>
    <w:rsid w:val="000B3F3B"/>
    <w:rsid w:val="000B4F46"/>
    <w:rsid w:val="000F3F71"/>
    <w:rsid w:val="0010288D"/>
    <w:rsid w:val="0013213B"/>
    <w:rsid w:val="00132CD0"/>
    <w:rsid w:val="00142581"/>
    <w:rsid w:val="0015000C"/>
    <w:rsid w:val="00153AAF"/>
    <w:rsid w:val="00165981"/>
    <w:rsid w:val="00172298"/>
    <w:rsid w:val="00174506"/>
    <w:rsid w:val="00192317"/>
    <w:rsid w:val="001C0F33"/>
    <w:rsid w:val="001E38C5"/>
    <w:rsid w:val="002046F5"/>
    <w:rsid w:val="002076AA"/>
    <w:rsid w:val="002204DB"/>
    <w:rsid w:val="002238E7"/>
    <w:rsid w:val="00233F05"/>
    <w:rsid w:val="0023494F"/>
    <w:rsid w:val="00245CB1"/>
    <w:rsid w:val="002722E4"/>
    <w:rsid w:val="002A0AEE"/>
    <w:rsid w:val="002B1F92"/>
    <w:rsid w:val="002C18AE"/>
    <w:rsid w:val="002C6F41"/>
    <w:rsid w:val="002C770D"/>
    <w:rsid w:val="002D294A"/>
    <w:rsid w:val="002D6141"/>
    <w:rsid w:val="002D77F6"/>
    <w:rsid w:val="002F7D33"/>
    <w:rsid w:val="00313172"/>
    <w:rsid w:val="00315F66"/>
    <w:rsid w:val="00323EF9"/>
    <w:rsid w:val="0035193F"/>
    <w:rsid w:val="00353F5E"/>
    <w:rsid w:val="00357728"/>
    <w:rsid w:val="0038726F"/>
    <w:rsid w:val="00391F6D"/>
    <w:rsid w:val="00392E7E"/>
    <w:rsid w:val="003A435F"/>
    <w:rsid w:val="003A643B"/>
    <w:rsid w:val="003C4F6A"/>
    <w:rsid w:val="00417E0E"/>
    <w:rsid w:val="00423BE9"/>
    <w:rsid w:val="0043318E"/>
    <w:rsid w:val="004465CA"/>
    <w:rsid w:val="00472519"/>
    <w:rsid w:val="004A7906"/>
    <w:rsid w:val="004C2AB3"/>
    <w:rsid w:val="004D086F"/>
    <w:rsid w:val="004D5AD4"/>
    <w:rsid w:val="004D6AC9"/>
    <w:rsid w:val="004F466D"/>
    <w:rsid w:val="004F500D"/>
    <w:rsid w:val="00512470"/>
    <w:rsid w:val="005275DA"/>
    <w:rsid w:val="00541935"/>
    <w:rsid w:val="00542887"/>
    <w:rsid w:val="00543C93"/>
    <w:rsid w:val="005442CB"/>
    <w:rsid w:val="00551369"/>
    <w:rsid w:val="00575C98"/>
    <w:rsid w:val="00580970"/>
    <w:rsid w:val="00595C38"/>
    <w:rsid w:val="005A269B"/>
    <w:rsid w:val="005B4715"/>
    <w:rsid w:val="005C2D9F"/>
    <w:rsid w:val="005E3311"/>
    <w:rsid w:val="005E47E3"/>
    <w:rsid w:val="0062633F"/>
    <w:rsid w:val="00635674"/>
    <w:rsid w:val="00644841"/>
    <w:rsid w:val="00652D79"/>
    <w:rsid w:val="0065714B"/>
    <w:rsid w:val="00662DA8"/>
    <w:rsid w:val="00664AA3"/>
    <w:rsid w:val="00697598"/>
    <w:rsid w:val="006A656F"/>
    <w:rsid w:val="006C097E"/>
    <w:rsid w:val="006D0999"/>
    <w:rsid w:val="00706E28"/>
    <w:rsid w:val="00711775"/>
    <w:rsid w:val="0071470E"/>
    <w:rsid w:val="007321C4"/>
    <w:rsid w:val="007721E4"/>
    <w:rsid w:val="00797D52"/>
    <w:rsid w:val="007B4538"/>
    <w:rsid w:val="007D0581"/>
    <w:rsid w:val="007D391F"/>
    <w:rsid w:val="007F19CC"/>
    <w:rsid w:val="00807DC5"/>
    <w:rsid w:val="00822F55"/>
    <w:rsid w:val="00824EC4"/>
    <w:rsid w:val="00827877"/>
    <w:rsid w:val="008600CE"/>
    <w:rsid w:val="008633A0"/>
    <w:rsid w:val="008800BD"/>
    <w:rsid w:val="008C0763"/>
    <w:rsid w:val="008D5AE5"/>
    <w:rsid w:val="008D5F26"/>
    <w:rsid w:val="008F2F0D"/>
    <w:rsid w:val="008F7CA5"/>
    <w:rsid w:val="00915787"/>
    <w:rsid w:val="009213C1"/>
    <w:rsid w:val="0093343F"/>
    <w:rsid w:val="0095744B"/>
    <w:rsid w:val="00967125"/>
    <w:rsid w:val="00975B6C"/>
    <w:rsid w:val="009770B8"/>
    <w:rsid w:val="009844E8"/>
    <w:rsid w:val="009B08C8"/>
    <w:rsid w:val="009B59A7"/>
    <w:rsid w:val="009B72DB"/>
    <w:rsid w:val="009C0D92"/>
    <w:rsid w:val="009C0DC2"/>
    <w:rsid w:val="009F1E3E"/>
    <w:rsid w:val="009F7771"/>
    <w:rsid w:val="00A06326"/>
    <w:rsid w:val="00A243BA"/>
    <w:rsid w:val="00A300F6"/>
    <w:rsid w:val="00A31F4F"/>
    <w:rsid w:val="00A417AE"/>
    <w:rsid w:val="00A441C7"/>
    <w:rsid w:val="00A54B6C"/>
    <w:rsid w:val="00A55D8F"/>
    <w:rsid w:val="00A8152A"/>
    <w:rsid w:val="00A9040E"/>
    <w:rsid w:val="00AA36D3"/>
    <w:rsid w:val="00AF02BB"/>
    <w:rsid w:val="00AF2EA3"/>
    <w:rsid w:val="00B0110C"/>
    <w:rsid w:val="00B250A0"/>
    <w:rsid w:val="00B33125"/>
    <w:rsid w:val="00B46535"/>
    <w:rsid w:val="00B4684F"/>
    <w:rsid w:val="00B82DF1"/>
    <w:rsid w:val="00B83CD1"/>
    <w:rsid w:val="00B93A47"/>
    <w:rsid w:val="00BD4BE3"/>
    <w:rsid w:val="00C000E1"/>
    <w:rsid w:val="00C03615"/>
    <w:rsid w:val="00C13176"/>
    <w:rsid w:val="00C4172B"/>
    <w:rsid w:val="00C424DB"/>
    <w:rsid w:val="00C63587"/>
    <w:rsid w:val="00C64035"/>
    <w:rsid w:val="00C90707"/>
    <w:rsid w:val="00CA26E3"/>
    <w:rsid w:val="00CA5382"/>
    <w:rsid w:val="00CB27DE"/>
    <w:rsid w:val="00CC5CF2"/>
    <w:rsid w:val="00CD7752"/>
    <w:rsid w:val="00CE2BED"/>
    <w:rsid w:val="00CF28FA"/>
    <w:rsid w:val="00CF7463"/>
    <w:rsid w:val="00D04809"/>
    <w:rsid w:val="00D075E0"/>
    <w:rsid w:val="00D0783F"/>
    <w:rsid w:val="00D1077E"/>
    <w:rsid w:val="00D22270"/>
    <w:rsid w:val="00D22644"/>
    <w:rsid w:val="00D90540"/>
    <w:rsid w:val="00D97FE9"/>
    <w:rsid w:val="00DA386C"/>
    <w:rsid w:val="00DA65DF"/>
    <w:rsid w:val="00DB11EF"/>
    <w:rsid w:val="00DC6501"/>
    <w:rsid w:val="00DD04A5"/>
    <w:rsid w:val="00DF1095"/>
    <w:rsid w:val="00E15273"/>
    <w:rsid w:val="00E31CA2"/>
    <w:rsid w:val="00E36AA5"/>
    <w:rsid w:val="00E37A23"/>
    <w:rsid w:val="00E46A07"/>
    <w:rsid w:val="00E6283C"/>
    <w:rsid w:val="00E90224"/>
    <w:rsid w:val="00EC799D"/>
    <w:rsid w:val="00ED3E03"/>
    <w:rsid w:val="00EE0854"/>
    <w:rsid w:val="00EE2997"/>
    <w:rsid w:val="00EE6AD0"/>
    <w:rsid w:val="00EF709A"/>
    <w:rsid w:val="00F0748A"/>
    <w:rsid w:val="00F079AA"/>
    <w:rsid w:val="00F13EA9"/>
    <w:rsid w:val="00F26F6D"/>
    <w:rsid w:val="00F3296D"/>
    <w:rsid w:val="00F404EC"/>
    <w:rsid w:val="00F54564"/>
    <w:rsid w:val="00F62583"/>
    <w:rsid w:val="00F7273F"/>
    <w:rsid w:val="00F73918"/>
    <w:rsid w:val="00FA0E81"/>
    <w:rsid w:val="00FC13E0"/>
    <w:rsid w:val="00FC2DCA"/>
    <w:rsid w:val="00FC5331"/>
    <w:rsid w:val="00FF3A4B"/>
    <w:rsid w:val="00FF53FF"/>
    <w:rsid w:val="2E7E4689"/>
    <w:rsid w:val="69397D35"/>
    <w:rsid w:val="69B2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0" w:name="footnote text"/>
    <w:lsdException w:uiPriority="0" w:semiHidden="0" w:name="annotation text"/>
    <w:lsdException w:qFormat="1" w:uiPriority="0"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atLeast"/>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6"/>
    <w:qFormat/>
    <w:uiPriority w:val="9"/>
    <w:pPr>
      <w:keepNext/>
      <w:keepLines/>
      <w:tabs>
        <w:tab w:val="left" w:pos="360"/>
      </w:tabs>
      <w:autoSpaceDE w:val="0"/>
      <w:autoSpaceDN w:val="0"/>
      <w:adjustRightInd w:val="0"/>
      <w:spacing w:line="360" w:lineRule="auto"/>
      <w:jc w:val="center"/>
      <w:textAlignment w:val="baseline"/>
      <w:outlineLvl w:val="0"/>
    </w:pPr>
    <w:rPr>
      <w:b/>
      <w:color w:val="000000"/>
      <w:kern w:val="44"/>
      <w:sz w:val="36"/>
      <w:szCs w:val="20"/>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3">
    <w:name w:val="Normal Indent"/>
    <w:basedOn w:val="1"/>
    <w:unhideWhenUsed/>
    <w:uiPriority w:val="99"/>
    <w:pPr>
      <w:ind w:firstLine="420" w:firstLineChars="200"/>
    </w:pPr>
  </w:style>
  <w:style w:type="paragraph" w:styleId="4">
    <w:name w:val="caption"/>
    <w:basedOn w:val="1"/>
    <w:next w:val="1"/>
    <w:qFormat/>
    <w:uiPriority w:val="0"/>
    <w:pPr>
      <w:spacing w:before="152" w:after="160"/>
    </w:pPr>
    <w:rPr>
      <w:rFonts w:ascii="Arial" w:hAnsi="Arial" w:eastAsia="黑体"/>
      <w:sz w:val="20"/>
      <w:szCs w:val="20"/>
    </w:rPr>
  </w:style>
  <w:style w:type="paragraph" w:styleId="5">
    <w:name w:val="annotation text"/>
    <w:basedOn w:val="1"/>
    <w:link w:val="41"/>
    <w:unhideWhenUsed/>
    <w:uiPriority w:val="0"/>
    <w:pPr>
      <w:jc w:val="left"/>
    </w:pPr>
  </w:style>
  <w:style w:type="paragraph" w:styleId="6">
    <w:name w:val="Body Text 3"/>
    <w:basedOn w:val="1"/>
    <w:link w:val="39"/>
    <w:unhideWhenUsed/>
    <w:qFormat/>
    <w:uiPriority w:val="0"/>
    <w:pPr>
      <w:spacing w:after="120"/>
    </w:pPr>
    <w:rPr>
      <w:sz w:val="16"/>
      <w:szCs w:val="16"/>
    </w:rPr>
  </w:style>
  <w:style w:type="paragraph" w:styleId="7">
    <w:name w:val="Body Text Indent"/>
    <w:basedOn w:val="1"/>
    <w:link w:val="43"/>
    <w:unhideWhenUsed/>
    <w:uiPriority w:val="99"/>
    <w:pPr>
      <w:spacing w:after="120"/>
      <w:ind w:left="420" w:leftChars="200"/>
    </w:pPr>
  </w:style>
  <w:style w:type="paragraph" w:styleId="8">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9">
    <w:name w:val="Plain Text"/>
    <w:basedOn w:val="1"/>
    <w:link w:val="42"/>
    <w:unhideWhenUsed/>
    <w:qFormat/>
    <w:uiPriority w:val="0"/>
    <w:rPr>
      <w:rFonts w:ascii="宋体" w:hAnsi="Courier New"/>
      <w:szCs w:val="22"/>
    </w:rPr>
  </w:style>
  <w:style w:type="paragraph" w:styleId="10">
    <w:name w:val="Date"/>
    <w:basedOn w:val="1"/>
    <w:next w:val="1"/>
    <w:link w:val="44"/>
    <w:unhideWhenUsed/>
    <w:qFormat/>
    <w:uiPriority w:val="0"/>
    <w:pPr>
      <w:ind w:left="100"/>
    </w:pPr>
    <w:rPr>
      <w:sz w:val="28"/>
      <w:szCs w:val="20"/>
    </w:rPr>
  </w:style>
  <w:style w:type="paragraph" w:styleId="11">
    <w:name w:val="Balloon Text"/>
    <w:basedOn w:val="1"/>
    <w:link w:val="48"/>
    <w:unhideWhenUsed/>
    <w:qFormat/>
    <w:uiPriority w:val="99"/>
    <w:rPr>
      <w:sz w:val="18"/>
      <w:szCs w:val="18"/>
    </w:rPr>
  </w:style>
  <w:style w:type="paragraph" w:styleId="12">
    <w:name w:val="footer"/>
    <w:basedOn w:val="1"/>
    <w:link w:val="40"/>
    <w:unhideWhenUsed/>
    <w:qFormat/>
    <w:uiPriority w:val="99"/>
    <w:pPr>
      <w:tabs>
        <w:tab w:val="center" w:pos="4153"/>
        <w:tab w:val="right" w:pos="8306"/>
      </w:tabs>
      <w:snapToGrid w:val="0"/>
      <w:jc w:val="left"/>
    </w:pPr>
    <w:rPr>
      <w:sz w:val="18"/>
      <w:szCs w:val="18"/>
    </w:rPr>
  </w:style>
  <w:style w:type="paragraph" w:styleId="13">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5">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6">
    <w:name w:val="Body Text 2"/>
    <w:basedOn w:val="1"/>
    <w:link w:val="45"/>
    <w:unhideWhenUsed/>
    <w:qFormat/>
    <w:uiPriority w:val="0"/>
    <w:pPr>
      <w:jc w:val="left"/>
    </w:pPr>
    <w:rPr>
      <w:rFonts w:eastAsia="楷体_GB2312"/>
    </w:rPr>
  </w:style>
  <w:style w:type="paragraph" w:styleId="17">
    <w:name w:val="Title"/>
    <w:basedOn w:val="1"/>
    <w:link w:val="46"/>
    <w:qFormat/>
    <w:uiPriority w:val="0"/>
    <w:pPr>
      <w:spacing w:line="360" w:lineRule="auto"/>
      <w:jc w:val="center"/>
      <w:outlineLvl w:val="0"/>
    </w:pPr>
    <w:rPr>
      <w:rFonts w:cs="黑体"/>
      <w:b/>
      <w:bCs/>
      <w:sz w:val="32"/>
      <w:szCs w:val="32"/>
    </w:rPr>
  </w:style>
  <w:style w:type="paragraph" w:styleId="18">
    <w:name w:val="annotation subject"/>
    <w:basedOn w:val="5"/>
    <w:next w:val="5"/>
    <w:link w:val="49"/>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unhideWhenUsed/>
    <w:qFormat/>
    <w:uiPriority w:val="99"/>
    <w:rPr>
      <w:rFonts w:ascii="仿宋_GB2312" w:eastAsia="仿宋_GB2312"/>
      <w:b/>
      <w:sz w:val="32"/>
      <w:szCs w:val="32"/>
    </w:rPr>
  </w:style>
  <w:style w:type="character" w:styleId="23">
    <w:name w:val="Hyperlink"/>
    <w:unhideWhenUsed/>
    <w:qFormat/>
    <w:uiPriority w:val="99"/>
    <w:rPr>
      <w:rFonts w:ascii="仿宋_GB2312" w:eastAsia="仿宋_GB2312"/>
      <w:b/>
      <w:color w:val="0000FF"/>
      <w:sz w:val="32"/>
      <w:szCs w:val="32"/>
      <w:u w:val="single"/>
    </w:rPr>
  </w:style>
  <w:style w:type="character" w:styleId="24">
    <w:name w:val="annotation reference"/>
    <w:unhideWhenUsed/>
    <w:qFormat/>
    <w:uiPriority w:val="0"/>
    <w:rPr>
      <w:rFonts w:ascii="仿宋_GB2312" w:eastAsia="仿宋_GB2312"/>
      <w:b/>
      <w:sz w:val="21"/>
      <w:szCs w:val="21"/>
    </w:rPr>
  </w:style>
  <w:style w:type="paragraph" w:customStyle="1" w:styleId="25">
    <w:name w:val="招标正文"/>
    <w:basedOn w:val="1"/>
    <w:qFormat/>
    <w:uiPriority w:val="0"/>
    <w:pPr>
      <w:adjustRightInd w:val="0"/>
      <w:snapToGrid w:val="0"/>
      <w:spacing w:line="360" w:lineRule="auto"/>
      <w:ind w:firstLine="480" w:firstLineChars="200"/>
    </w:pPr>
    <w:rPr>
      <w:rFonts w:ascii="宋体" w:hAnsi="宋体"/>
      <w:color w:val="000000"/>
      <w:kern w:val="0"/>
      <w:szCs w:val="21"/>
    </w:rPr>
  </w:style>
  <w:style w:type="paragraph" w:customStyle="1" w:styleId="26">
    <w:name w:val="正文2"/>
    <w:basedOn w:val="1"/>
    <w:link w:val="50"/>
    <w:qFormat/>
    <w:uiPriority w:val="0"/>
    <w:pPr>
      <w:spacing w:before="156" w:line="360" w:lineRule="auto"/>
      <w:ind w:firstLine="510" w:firstLineChars="200"/>
    </w:pPr>
    <w:rPr>
      <w:rFonts w:ascii="Calibri" w:hAnsi="Calibri"/>
      <w:szCs w:val="22"/>
    </w:rPr>
  </w:style>
  <w:style w:type="paragraph" w:customStyle="1" w:styleId="27">
    <w:name w:val="1册标题1"/>
    <w:basedOn w:val="1"/>
    <w:next w:val="1"/>
    <w:qFormat/>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28">
    <w:name w:val="列出段落1"/>
    <w:basedOn w:val="1"/>
    <w:qFormat/>
    <w:uiPriority w:val="0"/>
    <w:pPr>
      <w:ind w:firstLine="420" w:firstLineChars="200"/>
    </w:pPr>
    <w:rPr>
      <w:rFonts w:ascii="Calibri" w:hAnsi="Calibri"/>
    </w:rPr>
  </w:style>
  <w:style w:type="paragraph" w:customStyle="1" w:styleId="29">
    <w:name w:val="Char1"/>
    <w:basedOn w:val="1"/>
    <w:qFormat/>
    <w:uiPriority w:val="0"/>
    <w:rPr>
      <w:rFonts w:ascii="仿宋_GB2312" w:eastAsia="仿宋_GB2312"/>
      <w:b/>
      <w:sz w:val="32"/>
      <w:szCs w:val="32"/>
    </w:rPr>
  </w:style>
  <w:style w:type="paragraph" w:customStyle="1" w:styleId="30">
    <w:name w:val="_Style 70"/>
    <w:basedOn w:val="1"/>
    <w:next w:val="28"/>
    <w:qFormat/>
    <w:uiPriority w:val="0"/>
    <w:pPr>
      <w:ind w:firstLine="420" w:firstLineChars="200"/>
    </w:pPr>
  </w:style>
  <w:style w:type="paragraph" w:customStyle="1" w:styleId="31">
    <w:name w:val="Char Char"/>
    <w:basedOn w:val="1"/>
    <w:qFormat/>
    <w:uiPriority w:val="0"/>
    <w:pPr>
      <w:spacing w:line="360" w:lineRule="auto"/>
    </w:pPr>
    <w:rPr>
      <w:rFonts w:ascii="Tahoma" w:hAnsi="Tahoma" w:cs="Lucida Sans"/>
      <w:szCs w:val="20"/>
    </w:rPr>
  </w:style>
  <w:style w:type="paragraph" w:customStyle="1" w:styleId="32">
    <w:name w:val="Table Paragraph"/>
    <w:basedOn w:val="1"/>
    <w:qFormat/>
    <w:uiPriority w:val="1"/>
    <w:rPr>
      <w:rFonts w:ascii="宋体" w:hAnsi="宋体" w:cs="宋体"/>
      <w:szCs w:val="21"/>
      <w:lang w:val="zh-CN"/>
    </w:rPr>
  </w:style>
  <w:style w:type="paragraph" w:customStyle="1" w:styleId="33">
    <w:name w:val="z-窗体顶端1"/>
    <w:basedOn w:val="1"/>
    <w:next w:val="1"/>
    <w:link w:val="47"/>
    <w:qFormat/>
    <w:uiPriority w:val="0"/>
    <w:pPr>
      <w:pBdr>
        <w:bottom w:val="single" w:color="auto" w:sz="6" w:space="1"/>
      </w:pBdr>
      <w:jc w:val="center"/>
    </w:pPr>
    <w:rPr>
      <w:rFonts w:ascii="Arial"/>
      <w:vanish/>
      <w:sz w:val="16"/>
    </w:rPr>
  </w:style>
  <w:style w:type="paragraph" w:customStyle="1" w:styleId="34">
    <w:name w:val="Char Char Char Char Char Char Char Char Char Char Char Char Char"/>
    <w:basedOn w:val="1"/>
    <w:qFormat/>
    <w:uiPriority w:val="0"/>
    <w:rPr>
      <w:rFonts w:ascii="仿宋_GB2312" w:eastAsia="仿宋_GB2312"/>
      <w:b/>
      <w:sz w:val="32"/>
      <w:szCs w:val="32"/>
    </w:rPr>
  </w:style>
  <w:style w:type="paragraph" w:customStyle="1" w:styleId="35">
    <w:name w:val="TOC 标题1"/>
    <w:basedOn w:val="2"/>
    <w:next w:val="1"/>
    <w:unhideWhenUsed/>
    <w:qFormat/>
    <w:uiPriority w:val="39"/>
    <w:pPr>
      <w:widowControl/>
      <w:tabs>
        <w:tab w:val="clear" w:pos="360"/>
      </w:tabs>
      <w:adjustRightInd/>
      <w:spacing w:before="480" w:line="276" w:lineRule="auto"/>
      <w:jc w:val="left"/>
      <w:textAlignment w:val="auto"/>
      <w:outlineLvl w:val="9"/>
    </w:pPr>
    <w:rPr>
      <w:rFonts w:ascii="Cambria" w:hAnsi="Cambria"/>
      <w:bCs/>
      <w:color w:val="365F91"/>
      <w:kern w:val="0"/>
      <w:sz w:val="28"/>
      <w:szCs w:val="28"/>
    </w:rPr>
  </w:style>
  <w:style w:type="character" w:customStyle="1" w:styleId="36">
    <w:name w:val="标题 1 Char"/>
    <w:basedOn w:val="21"/>
    <w:link w:val="2"/>
    <w:qFormat/>
    <w:uiPriority w:val="9"/>
    <w:rPr>
      <w:rFonts w:ascii="Times New Roman" w:hAnsi="Times New Roman" w:eastAsia="宋体" w:cs="Times New Roman"/>
      <w:b/>
      <w:color w:val="000000"/>
      <w:kern w:val="44"/>
      <w:sz w:val="36"/>
      <w:szCs w:val="20"/>
    </w:rPr>
  </w:style>
  <w:style w:type="character" w:customStyle="1" w:styleId="37">
    <w:name w:val="fontstyle01"/>
    <w:qFormat/>
    <w:uiPriority w:val="0"/>
    <w:rPr>
      <w:rFonts w:hint="eastAsia" w:ascii="宋体" w:hAnsi="宋体" w:eastAsia="宋体"/>
      <w:b/>
      <w:color w:val="000000"/>
      <w:sz w:val="24"/>
      <w:szCs w:val="24"/>
    </w:rPr>
  </w:style>
  <w:style w:type="character" w:customStyle="1" w:styleId="38">
    <w:name w:val="页眉 Char"/>
    <w:basedOn w:val="21"/>
    <w:link w:val="13"/>
    <w:qFormat/>
    <w:uiPriority w:val="0"/>
    <w:rPr>
      <w:rFonts w:ascii="Times New Roman" w:hAnsi="Times New Roman" w:eastAsia="宋体" w:cs="Times New Roman"/>
      <w:sz w:val="18"/>
      <w:szCs w:val="18"/>
    </w:rPr>
  </w:style>
  <w:style w:type="character" w:customStyle="1" w:styleId="39">
    <w:name w:val="正文文本 3 Char"/>
    <w:basedOn w:val="21"/>
    <w:link w:val="6"/>
    <w:qFormat/>
    <w:uiPriority w:val="0"/>
    <w:rPr>
      <w:rFonts w:ascii="Times New Roman" w:hAnsi="Times New Roman" w:eastAsia="宋体" w:cs="Times New Roman"/>
      <w:sz w:val="16"/>
      <w:szCs w:val="16"/>
    </w:rPr>
  </w:style>
  <w:style w:type="character" w:customStyle="1" w:styleId="40">
    <w:name w:val="页脚 Char"/>
    <w:basedOn w:val="21"/>
    <w:link w:val="12"/>
    <w:qFormat/>
    <w:uiPriority w:val="99"/>
    <w:rPr>
      <w:rFonts w:ascii="Times New Roman" w:hAnsi="Times New Roman" w:eastAsia="宋体" w:cs="Times New Roman"/>
      <w:sz w:val="18"/>
      <w:szCs w:val="18"/>
    </w:rPr>
  </w:style>
  <w:style w:type="character" w:customStyle="1" w:styleId="41">
    <w:name w:val="批注文字 Char"/>
    <w:basedOn w:val="21"/>
    <w:link w:val="5"/>
    <w:qFormat/>
    <w:uiPriority w:val="0"/>
    <w:rPr>
      <w:rFonts w:ascii="Times New Roman" w:hAnsi="Times New Roman" w:eastAsia="宋体" w:cs="Times New Roman"/>
      <w:sz w:val="24"/>
      <w:szCs w:val="24"/>
    </w:rPr>
  </w:style>
  <w:style w:type="character" w:customStyle="1" w:styleId="42">
    <w:name w:val="纯文本 Char"/>
    <w:basedOn w:val="21"/>
    <w:link w:val="9"/>
    <w:qFormat/>
    <w:uiPriority w:val="0"/>
    <w:rPr>
      <w:rFonts w:ascii="宋体" w:hAnsi="Courier New" w:eastAsia="宋体" w:cs="Times New Roman"/>
      <w:sz w:val="24"/>
    </w:rPr>
  </w:style>
  <w:style w:type="character" w:customStyle="1" w:styleId="43">
    <w:name w:val="正文文本缩进 Char"/>
    <w:basedOn w:val="21"/>
    <w:link w:val="7"/>
    <w:qFormat/>
    <w:uiPriority w:val="99"/>
    <w:rPr>
      <w:rFonts w:ascii="Times New Roman" w:hAnsi="Times New Roman" w:eastAsia="宋体" w:cs="Times New Roman"/>
      <w:sz w:val="24"/>
      <w:szCs w:val="24"/>
    </w:rPr>
  </w:style>
  <w:style w:type="character" w:customStyle="1" w:styleId="44">
    <w:name w:val="日期 Char"/>
    <w:basedOn w:val="21"/>
    <w:link w:val="10"/>
    <w:qFormat/>
    <w:uiPriority w:val="0"/>
    <w:rPr>
      <w:rFonts w:ascii="Times New Roman" w:hAnsi="Times New Roman" w:eastAsia="宋体" w:cs="Times New Roman"/>
      <w:sz w:val="28"/>
      <w:szCs w:val="20"/>
    </w:rPr>
  </w:style>
  <w:style w:type="character" w:customStyle="1" w:styleId="45">
    <w:name w:val="正文文本 2 Char"/>
    <w:basedOn w:val="21"/>
    <w:link w:val="16"/>
    <w:qFormat/>
    <w:uiPriority w:val="0"/>
    <w:rPr>
      <w:rFonts w:ascii="Times New Roman" w:hAnsi="Times New Roman" w:eastAsia="楷体_GB2312" w:cs="Times New Roman"/>
      <w:sz w:val="24"/>
      <w:szCs w:val="24"/>
    </w:rPr>
  </w:style>
  <w:style w:type="character" w:customStyle="1" w:styleId="46">
    <w:name w:val="标题 Char"/>
    <w:basedOn w:val="21"/>
    <w:link w:val="17"/>
    <w:qFormat/>
    <w:uiPriority w:val="0"/>
    <w:rPr>
      <w:rFonts w:ascii="Times New Roman" w:hAnsi="Times New Roman" w:eastAsia="宋体" w:cs="黑体"/>
      <w:b/>
      <w:bCs/>
      <w:sz w:val="32"/>
      <w:szCs w:val="32"/>
    </w:rPr>
  </w:style>
  <w:style w:type="character" w:customStyle="1" w:styleId="47">
    <w:name w:val="z-窗体顶端 Char"/>
    <w:basedOn w:val="21"/>
    <w:link w:val="33"/>
    <w:qFormat/>
    <w:uiPriority w:val="0"/>
    <w:rPr>
      <w:rFonts w:ascii="Arial" w:hAnsi="Times New Roman" w:eastAsia="宋体" w:cs="Times New Roman"/>
      <w:vanish/>
      <w:sz w:val="16"/>
      <w:szCs w:val="24"/>
    </w:rPr>
  </w:style>
  <w:style w:type="character" w:customStyle="1" w:styleId="48">
    <w:name w:val="批注框文本 Char"/>
    <w:basedOn w:val="21"/>
    <w:link w:val="11"/>
    <w:semiHidden/>
    <w:qFormat/>
    <w:uiPriority w:val="99"/>
    <w:rPr>
      <w:rFonts w:ascii="Times New Roman" w:hAnsi="Times New Roman" w:eastAsia="宋体" w:cs="Times New Roman"/>
      <w:sz w:val="18"/>
      <w:szCs w:val="18"/>
    </w:rPr>
  </w:style>
  <w:style w:type="character" w:customStyle="1" w:styleId="49">
    <w:name w:val="批注主题 Char"/>
    <w:basedOn w:val="41"/>
    <w:link w:val="18"/>
    <w:semiHidden/>
    <w:qFormat/>
    <w:uiPriority w:val="99"/>
    <w:rPr>
      <w:rFonts w:ascii="Times New Roman" w:hAnsi="Times New Roman" w:eastAsia="宋体" w:cs="Times New Roman"/>
      <w:b/>
      <w:bCs/>
      <w:sz w:val="24"/>
      <w:szCs w:val="24"/>
    </w:rPr>
  </w:style>
  <w:style w:type="character" w:customStyle="1" w:styleId="50">
    <w:name w:val="正文2 Char"/>
    <w:link w:val="26"/>
    <w:qFormat/>
    <w:uiPriority w:val="0"/>
    <w:rPr>
      <w:rFonts w:ascii="Calibri" w:hAnsi="Calibri"/>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5808</Words>
  <Characters>33112</Characters>
  <Lines>275</Lines>
  <Paragraphs>77</Paragraphs>
  <TotalTime>36</TotalTime>
  <ScaleCrop>false</ScaleCrop>
  <LinksUpToDate>false</LinksUpToDate>
  <CharactersWithSpaces>38843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2021-07-30T06:01:00Z</dcterms:created>
  <dc:creator>admin</dc:creator>
  <cp:lastModifiedBy>圈圈啊</cp:lastModifiedBy>
  <cp:lastPrinted>2021-03-18T05:57:00Z</cp:lastPrinted>
  <dcterms:modified xsi:type="dcterms:W3CDTF">2021-08-11T02:19:12Z</dcterms:modified>
  <dc:title>崇贤街道办公楼物业管理服务</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BAC87BCC520A463C99827B11496886C8</vt:lpwstr>
  </property>
</Properties>
</file>