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方正小标宋_GBK" w:hAnsi="方正小标宋_GBK" w:eastAsia="方正小标宋_GBK" w:cs="方正小标宋_GBK"/>
          <w:color w:val="333333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333333"/>
          <w:kern w:val="0"/>
          <w:sz w:val="36"/>
          <w:szCs w:val="36"/>
          <w:lang w:val="en-US" w:eastAsia="zh-CN"/>
        </w:rPr>
        <w:t>杭州市</w:t>
      </w:r>
      <w:r>
        <w:rPr>
          <w:rFonts w:hint="eastAsia" w:ascii="方正小标宋_GBK" w:hAnsi="方正小标宋_GBK" w:eastAsia="方正小标宋_GBK" w:cs="方正小标宋_GBK"/>
          <w:b/>
          <w:bCs/>
          <w:color w:val="auto"/>
          <w:kern w:val="0"/>
          <w:sz w:val="36"/>
          <w:szCs w:val="36"/>
          <w:lang w:val="en-US" w:eastAsia="zh-CN"/>
        </w:rPr>
        <w:t>余杭区百丈镇</w:t>
      </w:r>
      <w:r>
        <w:rPr>
          <w:rFonts w:hint="eastAsia" w:ascii="Times New Roman" w:hAnsi="Times New Roman" w:eastAsia="方正小标宋_GBK" w:cs="方正小标宋_GBK"/>
          <w:b/>
          <w:bCs/>
          <w:color w:val="auto"/>
          <w:kern w:val="0"/>
          <w:sz w:val="36"/>
          <w:szCs w:val="36"/>
          <w:lang w:val="en-US" w:eastAsia="zh-CN"/>
        </w:rPr>
        <w:t>2</w:t>
      </w:r>
      <w:r>
        <w:rPr>
          <w:rFonts w:hint="eastAsia" w:ascii="Times New Roman" w:hAnsi="Times New Roman" w:eastAsia="方正小标宋_GBK" w:cs="方正小标宋_GBK"/>
          <w:b/>
          <w:bCs/>
          <w:color w:val="333333"/>
          <w:kern w:val="0"/>
          <w:sz w:val="36"/>
          <w:szCs w:val="36"/>
        </w:rPr>
        <w:t>02</w:t>
      </w:r>
      <w:r>
        <w:rPr>
          <w:rFonts w:hint="eastAsia" w:ascii="Times New Roman" w:hAnsi="Times New Roman" w:eastAsia="方正小标宋_GBK" w:cs="方正小标宋_GBK"/>
          <w:b/>
          <w:bCs/>
          <w:color w:val="333333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/>
          <w:bCs/>
          <w:color w:val="333333"/>
          <w:kern w:val="0"/>
          <w:sz w:val="36"/>
          <w:szCs w:val="36"/>
        </w:rPr>
        <w:t>年度政府信息公开工作年度报告</w:t>
      </w:r>
    </w:p>
    <w:p>
      <w:pPr>
        <w:widowControl w:val="0"/>
        <w:wordWrap/>
        <w:adjustRightInd/>
        <w:snapToGrid/>
        <w:spacing w:line="558" w:lineRule="exact"/>
        <w:ind w:left="0" w:leftChars="0" w:right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widowControl w:val="0"/>
        <w:wordWrap/>
        <w:adjustRightInd/>
        <w:snapToGrid/>
        <w:spacing w:line="558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以来，百丈镇认真贯彻落实《中华人民共和国政府信息公开条例》和省、市、区有关文件精神，进一步加强组织领导，始终秉持“公开为原则，不公开为例外”的原则，明确责任，抓实举措，切实做好政府信息公开各项工作。</w:t>
      </w:r>
    </w:p>
    <w:p>
      <w:pPr>
        <w:widowControl w:val="0"/>
        <w:wordWrap/>
        <w:adjustRightInd/>
        <w:snapToGrid/>
        <w:spacing w:line="558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全文包括总体情况、主动公开政府信息情况、收到和处理政府信息公开申请情况、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政府信息公开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行政复议、行政诉讼情况、存在的主要问题和改进情况和其他需要报告的事项。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本报告所列数据的统计期限自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日起至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日止。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对本报告有任何疑问，请与杭州市余杭区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百丈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镇人民政府党政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综合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办公室联系（地址：杭州市余杭区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百丈镇竹城路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213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，邮编：</w:t>
      </w:r>
      <w:r>
        <w:rPr>
          <w:rFonts w:hint="eastAsia" w:ascii="Times New Roman" w:hAnsi="Times New Roman" w:eastAsia="仿宋_GB2312" w:cs="仿宋_GB2312"/>
          <w:sz w:val="32"/>
          <w:szCs w:val="32"/>
          <w:lang w:val="en-US"/>
        </w:rPr>
        <w:t>31111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，电话：</w:t>
      </w:r>
      <w:r>
        <w:rPr>
          <w:rFonts w:hint="eastAsia" w:ascii="Times New Roman" w:hAnsi="Times New Roman" w:eastAsia="仿宋_GB2312" w:cs="仿宋_GB2312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0571</w:t>
      </w:r>
      <w:r>
        <w:rPr>
          <w:rFonts w:hint="eastAsia" w:ascii="仿宋_GB2312" w:hAnsi="仿宋_GB2312" w:eastAsia="仿宋_GB2312" w:cs="仿宋_GB2312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-</w:t>
      </w:r>
      <w:r>
        <w:rPr>
          <w:rFonts w:hint="eastAsia" w:ascii="Times New Roman" w:hAnsi="Times New Roman" w:eastAsia="仿宋_GB2312" w:cs="仿宋_GB2312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885</w:t>
      </w:r>
      <w:r>
        <w:rPr>
          <w:rFonts w:hint="eastAsia" w:ascii="Times New Roman" w:hAnsi="Times New Roman" w:eastAsia="仿宋_GB2312" w:cs="仿宋_GB2312"/>
          <w:i w:val="0"/>
          <w:caps w:val="0"/>
          <w:color w:val="030303"/>
          <w:spacing w:val="0"/>
          <w:sz w:val="32"/>
          <w:szCs w:val="32"/>
          <w:shd w:val="clear" w:color="auto" w:fill="FFFFFF"/>
          <w:lang w:val="en-US" w:eastAsia="zh-CN"/>
        </w:rPr>
        <w:t>61901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）。</w:t>
      </w: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color w:val="333333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一、总体情况</w:t>
      </w:r>
    </w:p>
    <w:p>
      <w:pPr>
        <w:widowControl/>
        <w:shd w:val="clear" w:color="auto" w:fill="FFFFFF"/>
        <w:ind w:firstLine="48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（一）主动公开</w:t>
      </w:r>
    </w:p>
    <w:p>
      <w:pPr>
        <w:widowControl/>
        <w:shd w:val="clear" w:color="auto" w:fill="FFFFFF"/>
        <w:ind w:firstLine="480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2023年以来，百丈镇通过“共富百丈”微信公众号、区政府门户网站共发布各类信息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902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条，其中“共富百丈”微信公众号发布信息885条，门户网站发布信息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17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个，通知公告13个，公开发布文件4个。</w:t>
      </w:r>
    </w:p>
    <w:p>
      <w:pPr>
        <w:widowControl/>
        <w:shd w:val="clear" w:color="auto" w:fill="FFFFFF"/>
        <w:ind w:firstLine="480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（二）依申请公开</w:t>
      </w:r>
    </w:p>
    <w:p>
      <w:pPr>
        <w:widowControl/>
        <w:numPr>
          <w:ilvl w:val="0"/>
          <w:numId w:val="0"/>
        </w:numPr>
        <w:shd w:val="clear" w:color="auto" w:fill="FFFFFF"/>
        <w:ind w:firstLine="64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依申请公开发文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条，收到信息公开申请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件。</w:t>
      </w:r>
    </w:p>
    <w:p>
      <w:pPr>
        <w:widowControl/>
        <w:shd w:val="clear" w:color="auto" w:fill="FFFFFF"/>
        <w:ind w:firstLine="48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（三）政府信息管理</w:t>
      </w:r>
    </w:p>
    <w:p>
      <w:pPr>
        <w:widowControl/>
        <w:numPr>
          <w:ilvl w:val="0"/>
          <w:numId w:val="0"/>
        </w:numPr>
        <w:shd w:val="clear" w:color="auto" w:fill="FFFFFF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百丈镇严格遵照《中华人民共和国政府信息公开条例》对政务信息公开进行管理。政务信息公开由党政综合办公室管理，明确政务公开工作责任分工，安排专员负责信息公开工作的收集、审核和发布。党政综合办公室落实相关规章的制订、依申请公开信息的受理等具体工作。畅通公开渠道，优化工作流程。群众可通过网络、信函、现场等多种途径申请信息公开，完善政府信息公开申请登记、审核、办理、答复、归档等工作制度。</w:t>
      </w:r>
    </w:p>
    <w:p>
      <w:pPr>
        <w:widowControl/>
        <w:shd w:val="clear" w:color="auto" w:fill="FFFFFF"/>
        <w:ind w:firstLine="48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（四）政府信息公开平台建设</w:t>
      </w:r>
    </w:p>
    <w:p>
      <w:pPr>
        <w:widowControl/>
        <w:numPr>
          <w:ilvl w:val="0"/>
          <w:numId w:val="0"/>
        </w:numPr>
        <w:shd w:val="clear" w:color="auto" w:fill="FFFFFF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着力政务平台建设。设置专门人员定期进行政务信息公开网站平台的维护、更新，配合上级做好信息公开规范性工作。同时充分利用好政务传统媒体结合新媒体的方法，大力创新政策解读形式，利用“共富百丈”微信公众号平台扩大政务公开的渠道，做好权威解读，提高政策的正确传播力和影响。</w:t>
      </w:r>
    </w:p>
    <w:p>
      <w:pPr>
        <w:widowControl/>
        <w:numPr>
          <w:ilvl w:val="0"/>
          <w:numId w:val="0"/>
        </w:numPr>
        <w:shd w:val="clear" w:color="auto" w:fill="FFFFFF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（五）监督保障</w:t>
      </w:r>
    </w:p>
    <w:p>
      <w:pPr>
        <w:widowControl/>
        <w:numPr>
          <w:ilvl w:val="0"/>
          <w:numId w:val="0"/>
        </w:numPr>
        <w:shd w:val="clear" w:color="auto" w:fill="FFFFFF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落实监督保障机制。始终把监督作为政府信息公开的关键环节，进一步健全政府信息公开监督机制、考核制度，日常对政府信息公开工作的实施情况进行监督检查，同时切实做好政府信息公开资料建档工作，积极落实社会评议制度利用政务网站、“共富百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”微信公众号、公开电话等广泛听取群众意见，接受群众监督，不断改进各项工作，提高工作效率。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年度未发生政务公开工作责任追究结果情况。</w:t>
      </w: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Style w:val="5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Style w:val="5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</w:rPr>
              <w:t>6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</w:rPr>
              <w:t>7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</w:rPr>
              <w:t>8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Style w:val="5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其他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尚未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其他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尚未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尚未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存在的主要问题及改进情况</w:t>
      </w:r>
    </w:p>
    <w:p>
      <w:pPr>
        <w:widowControl/>
        <w:numPr>
          <w:ilvl w:val="0"/>
          <w:numId w:val="0"/>
        </w:numPr>
        <w:shd w:val="clear" w:color="auto" w:fill="FFFFFF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年我镇政务公开工作还存在一些差距和不足。一是信息公开的时效性有待提高。二是对主动公开的信息内容的理解和把握不够，对各项政策的理解不能灵活运用，发布的政务信息质量还不高。三是政策解读过于单一，缺少音频视频、卡通动漫等群众喜闻乐见的展现形式。</w:t>
      </w:r>
    </w:p>
    <w:p>
      <w:pPr>
        <w:widowControl/>
        <w:numPr>
          <w:ilvl w:val="0"/>
          <w:numId w:val="0"/>
        </w:numPr>
        <w:shd w:val="clear" w:color="auto" w:fill="FFFFFF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年，将继续严格按照《中华人民共和国政府信息公开条例》和余杭区政府总体要求，不断改进和完善工作机制，努力提高政务公开的质量和水平。一是加强学习和培训。强化政务公开工作人员的业务学习和培训，提高其对政务信息公开工作重要性的认识，提高工作人员素质和业务水平。二是创新政务公开工作途径。加大政务信息公开范围、提升政务信息公开质量，持续做好政务公开数据统计等基础工作，确保政务公开工作常态化。三是不断提高政策解读发布的质量。通过丰富解读的形式，扩宽政务公开的展现形式，进一步提高政务公开工作水平，助力政务公开工作提质增效。</w:t>
      </w: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六、其他需要报告的事项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Times New Roman" w:hAnsi="Times New Roman" w:eastAsia="仿宋_GB2312"/>
          <w:color w:val="030303"/>
          <w:sz w:val="28"/>
          <w:szCs w:val="28"/>
          <w:lang w:val="en-US" w:eastAsia="zh-CN"/>
        </w:rPr>
        <w:t>2023</w:t>
      </w:r>
      <w:r>
        <w:rPr>
          <w:rFonts w:hint="eastAsia" w:ascii="仿宋_GB2312" w:hAnsi="微软雅黑" w:eastAsia="仿宋_GB2312"/>
          <w:color w:val="030303"/>
          <w:sz w:val="28"/>
          <w:szCs w:val="28"/>
          <w:lang w:val="en-US" w:eastAsia="zh-CN"/>
        </w:rPr>
        <w:t>年百丈镇收取信息处理费情况为</w:t>
      </w:r>
      <w:r>
        <w:rPr>
          <w:rFonts w:hint="eastAsia" w:ascii="Times New Roman" w:hAnsi="Times New Roman" w:eastAsia="仿宋_GB2312"/>
          <w:color w:val="030303"/>
          <w:sz w:val="28"/>
          <w:szCs w:val="28"/>
          <w:lang w:val="en-US" w:eastAsia="zh-CN"/>
        </w:rPr>
        <w:t>0</w:t>
      </w:r>
      <w:r>
        <w:rPr>
          <w:rFonts w:hint="eastAsia" w:ascii="仿宋_GB2312" w:hAnsi="微软雅黑" w:eastAsia="仿宋_GB2312"/>
          <w:color w:val="030303"/>
          <w:sz w:val="28"/>
          <w:szCs w:val="28"/>
          <w:lang w:val="en-US" w:eastAsia="zh-CN"/>
        </w:rPr>
        <w:t>，</w:t>
      </w:r>
      <w:r>
        <w:rPr>
          <w:rFonts w:hint="eastAsia" w:ascii="仿宋_GB2312" w:hAnsi="微软雅黑" w:eastAsia="仿宋_GB2312"/>
          <w:color w:val="030303"/>
          <w:sz w:val="28"/>
          <w:szCs w:val="28"/>
        </w:rPr>
        <w:t>本年度无其他需要报告的事项。</w:t>
      </w:r>
    </w:p>
    <w:p>
      <w:pPr>
        <w:widowControl/>
        <w:shd w:val="clear" w:color="auto" w:fill="FFFFFF"/>
        <w:jc w:val="left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color="0A0000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wMmQ0NWI5YTQ5Y2NmYzRhYTA3N2Q5YzkyYjE2NzUifQ=="/>
  </w:docVars>
  <w:rsids>
    <w:rsidRoot w:val="00000000"/>
    <w:rsid w:val="0586291D"/>
    <w:rsid w:val="061E541A"/>
    <w:rsid w:val="06515869"/>
    <w:rsid w:val="07036991"/>
    <w:rsid w:val="088D2C15"/>
    <w:rsid w:val="13C156F5"/>
    <w:rsid w:val="15A90E19"/>
    <w:rsid w:val="18347B85"/>
    <w:rsid w:val="18464840"/>
    <w:rsid w:val="1BB9458C"/>
    <w:rsid w:val="1D0A73B1"/>
    <w:rsid w:val="1F9B4A39"/>
    <w:rsid w:val="221B6805"/>
    <w:rsid w:val="22364E30"/>
    <w:rsid w:val="25A869D6"/>
    <w:rsid w:val="26AB5818"/>
    <w:rsid w:val="273D486E"/>
    <w:rsid w:val="277F0B5A"/>
    <w:rsid w:val="2D3F64E6"/>
    <w:rsid w:val="2D4C7D7A"/>
    <w:rsid w:val="2D9F6AE6"/>
    <w:rsid w:val="2E2831C7"/>
    <w:rsid w:val="324D1131"/>
    <w:rsid w:val="3345642D"/>
    <w:rsid w:val="38FC4989"/>
    <w:rsid w:val="3AD0644B"/>
    <w:rsid w:val="3B8F5FC8"/>
    <w:rsid w:val="3D2B59E9"/>
    <w:rsid w:val="3D965098"/>
    <w:rsid w:val="3F520BF1"/>
    <w:rsid w:val="44EE0B22"/>
    <w:rsid w:val="45B75FEC"/>
    <w:rsid w:val="47E44403"/>
    <w:rsid w:val="497C50C6"/>
    <w:rsid w:val="4AE33A6B"/>
    <w:rsid w:val="4DF85277"/>
    <w:rsid w:val="4F2E0591"/>
    <w:rsid w:val="4FFD6884"/>
    <w:rsid w:val="50261E3F"/>
    <w:rsid w:val="5074560B"/>
    <w:rsid w:val="545974F0"/>
    <w:rsid w:val="5510701F"/>
    <w:rsid w:val="5AB2705D"/>
    <w:rsid w:val="5D2466DF"/>
    <w:rsid w:val="5DB23A65"/>
    <w:rsid w:val="5DE55498"/>
    <w:rsid w:val="62425D42"/>
    <w:rsid w:val="63F0428F"/>
    <w:rsid w:val="64B81FCE"/>
    <w:rsid w:val="654D6C3E"/>
    <w:rsid w:val="67FC31E0"/>
    <w:rsid w:val="69455B59"/>
    <w:rsid w:val="6B1A4247"/>
    <w:rsid w:val="6BCA0B67"/>
    <w:rsid w:val="6D9013CC"/>
    <w:rsid w:val="704A4E48"/>
    <w:rsid w:val="71681A1D"/>
    <w:rsid w:val="72AB6BB1"/>
    <w:rsid w:val="72C1077F"/>
    <w:rsid w:val="75051CD3"/>
    <w:rsid w:val="760C71B7"/>
    <w:rsid w:val="76417A12"/>
    <w:rsid w:val="784173A2"/>
    <w:rsid w:val="7AF741CD"/>
    <w:rsid w:val="7CB765E5"/>
    <w:rsid w:val="7FBC31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1128</Words>
  <Characters>1222</Characters>
  <Lines>0</Lines>
  <Paragraphs>0</Paragraphs>
  <TotalTime>58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2023-01-09T06:05:00Z</dcterms:created>
  <dc:creator>lenovo</dc:creator>
  <cp:lastModifiedBy>FANGYUANer</cp:lastModifiedBy>
  <cp:lastPrinted>2023-01-10T03:46:00Z</cp:lastPrinted>
  <dcterms:modified xsi:type="dcterms:W3CDTF">2024-01-11T02:06:54Z</dcterms:modified>
  <dc:title>政府信息公开工作年度报告按照国办公开办函〔2021〕30号文件要求的统一格式发布，与往年年报内容不得雷同。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1B8BDAB4B4514C208F271BD9E50A9CAF_13</vt:lpwstr>
  </property>
</Properties>
</file>