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杭州市生态环境局余杭分局202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政府信息公开工作年度报告</w:t>
      </w:r>
    </w:p>
    <w:p>
      <w:pPr>
        <w:spacing w:line="570" w:lineRule="exact"/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（一）主动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方面</w:t>
      </w:r>
    </w:p>
    <w:p>
      <w:pPr>
        <w:spacing w:line="560" w:lineRule="exact"/>
        <w:ind w:firstLine="632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认真贯彻落实《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杭州市生态环境局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年政务公开实施方案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》及政府信息公开工作的各项规定举措，加大政府信息主动公开力度，完善政务公开制度规范，全方位推进政府信息公开工作。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本年度在余杭区门户网站共发布372条政务信息。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依申请公开方面</w:t>
      </w:r>
    </w:p>
    <w:p>
      <w:pPr>
        <w:spacing w:line="560" w:lineRule="exact"/>
        <w:ind w:firstLine="63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严格按照《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中华人民共和国政府信息公开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条例》等有关规定对政府信息公开申请进行办理和答复。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 w:bidi="ar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，共收到公民、法人和其他组织政府信息公开申请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 w:bidi="ar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件，另有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件为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年结转至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 w:bidi="ar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年办理，目前均已办结。本年度无因政府信息公开引起的行政复议、行政诉讼。</w:t>
      </w:r>
    </w:p>
    <w:p>
      <w:pPr>
        <w:numPr>
          <w:ilvl w:val="0"/>
          <w:numId w:val="2"/>
        </w:numPr>
        <w:spacing w:line="560" w:lineRule="exact"/>
        <w:ind w:firstLine="632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政府信息管理方面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充分考虑政府信息公开工作的专业性，确保工作质量。进一步深化对政府信息公开工作重要作用的认识，完善信息主动公开和依申请公开操作规范和处理流程，切实提高工作主动性、自觉性，不断提升工作实效，确保信息真实性、准确性和权威性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（四）政府信息公开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平台建设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将区政府门户网站作为政务公开第一平台，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努力提升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公开平台建设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水平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，促进实效提升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围绕重点工作、社会热点，融合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信息公开、数据开放、政务服务等完善平台功能建设，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规范局信息公开专栏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拓展公开渠道，加大公开力度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，利用政务新媒体加大重要政策文件和民生信息发布力度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保证信息公开工作的有效运行。</w:t>
      </w:r>
    </w:p>
    <w:p>
      <w:pPr>
        <w:widowControl/>
        <w:numPr>
          <w:ilvl w:val="0"/>
          <w:numId w:val="3"/>
        </w:numPr>
        <w:spacing w:line="560" w:lineRule="exact"/>
        <w:ind w:firstLine="643" w:firstLineChars="200"/>
        <w:jc w:val="left"/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监督保障方面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认真学习贯彻落实新修订的《中华人民共和国政府信息公开条例》，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完善信息公开审查机制，坚持谁公开谁审查、事前审查、依法审查的原则。注重对个人隐私、国家秘密、工作秘密等数据信息的安全保护，防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范泄密风险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。将政务公开工作纳入日常考核，并积极落实社会评议制度，广泛听取群众意见。2023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年未发生政府信息公开工作责任追究情况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70" w:lineRule="exact"/>
        <w:ind w:firstLine="640" w:firstLineChars="200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highlight w:val="yellow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highlight w:val="yellow"/>
                <w:lang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highlight w:val="yellow"/>
                <w:lang w:eastAsia="zh-CN"/>
              </w:rPr>
            </w:pPr>
            <w:r>
              <w:rPr>
                <w:rFonts w:hint="eastAsia" w:cs="Calibri"/>
                <w:kern w:val="0"/>
                <w:szCs w:val="21"/>
                <w:highlight w:val="none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highlight w:val="none"/>
                <w:lang w:val="en-US" w:eastAsia="zh-CN"/>
              </w:rPr>
            </w:pPr>
            <w:r>
              <w:rPr>
                <w:rFonts w:hint="eastAsia" w:cs="Calibri"/>
                <w:highlight w:val="none"/>
                <w:lang w:val="en-US" w:eastAsia="zh-CN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highlight w:val="yellow"/>
                <w:lang w:val="en-US" w:eastAsia="zh-CN"/>
              </w:rPr>
            </w:pPr>
            <w:r>
              <w:rPr>
                <w:rFonts w:hint="eastAsia" w:cs="Calibri"/>
                <w:highlight w:val="none"/>
                <w:lang w:val="en-US" w:eastAsia="zh-CN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highlight w:val="yellow"/>
                <w:lang w:val="en-US" w:eastAsia="zh-CN"/>
              </w:rPr>
            </w:pPr>
            <w:r>
              <w:rPr>
                <w:rFonts w:hint="eastAsia" w:cs="Calibri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default" w:ascii="Calibri" w:hAnsi="Calibri" w:cs="Calibri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sz w:val="20"/>
                <w:szCs w:val="20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年，分局政务信息公开工作总体运行情况良好，但是仍然存在不足，政府信息公开申请的处置能力仍有待增强。下一步，分局将组织相关人员学习《条例》，积极参与政务公开培训，依申请办理方面，规范收件、登记、答复、寄件等流程，加强与申请人沟通力度，了解申请人需求，不断提升办件质量。</w:t>
      </w:r>
    </w:p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widowControl w:val="0"/>
        <w:wordWrap/>
        <w:adjustRightInd/>
        <w:snapToGrid/>
        <w:spacing w:line="57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本单位202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年未收取信息处理费。</w:t>
      </w:r>
    </w:p>
    <w:sectPr>
      <w:footerReference r:id="rId3" w:type="default"/>
      <w:pgSz w:w="11906" w:h="16838"/>
      <w:pgMar w:top="1701" w:right="1474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C/457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y6vTpqH4cMxEonMLU0YYafBdE9Z3bRTaRGe57nr6T/a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gL/jns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E5F10"/>
    <w:multiLevelType w:val="singleLevel"/>
    <w:tmpl w:val="EBFE5F1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07ED970"/>
    <w:multiLevelType w:val="singleLevel"/>
    <w:tmpl w:val="F07ED970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59C9E01"/>
    <w:multiLevelType w:val="singleLevel"/>
    <w:tmpl w:val="659C9E01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Y2NkZjdiMjlkZDY1ZDNmM2Q4MzYzZjdhMmY4ZTkifQ=="/>
  </w:docVars>
  <w:rsids>
    <w:rsidRoot w:val="6A8739C2"/>
    <w:rsid w:val="004C0DAB"/>
    <w:rsid w:val="00C76866"/>
    <w:rsid w:val="00D113D6"/>
    <w:rsid w:val="05C14C3D"/>
    <w:rsid w:val="09414AC1"/>
    <w:rsid w:val="0A7F0BEE"/>
    <w:rsid w:val="0BDB2338"/>
    <w:rsid w:val="0DE957E6"/>
    <w:rsid w:val="11216514"/>
    <w:rsid w:val="11EA36AD"/>
    <w:rsid w:val="150F3AF8"/>
    <w:rsid w:val="165E6ED9"/>
    <w:rsid w:val="16BC5326"/>
    <w:rsid w:val="1EB86FA2"/>
    <w:rsid w:val="1EBFD54C"/>
    <w:rsid w:val="21B15DC8"/>
    <w:rsid w:val="23331100"/>
    <w:rsid w:val="23F23130"/>
    <w:rsid w:val="26AD47C0"/>
    <w:rsid w:val="2A3A7E53"/>
    <w:rsid w:val="32501DE6"/>
    <w:rsid w:val="337E50A1"/>
    <w:rsid w:val="33C523CE"/>
    <w:rsid w:val="33D913AF"/>
    <w:rsid w:val="37F1543A"/>
    <w:rsid w:val="395A8CF7"/>
    <w:rsid w:val="3FBFDD8E"/>
    <w:rsid w:val="3FD63C78"/>
    <w:rsid w:val="46522ED9"/>
    <w:rsid w:val="488E197E"/>
    <w:rsid w:val="4AA46683"/>
    <w:rsid w:val="4B375749"/>
    <w:rsid w:val="4E9E3C28"/>
    <w:rsid w:val="5114032B"/>
    <w:rsid w:val="51BB2588"/>
    <w:rsid w:val="52EF718B"/>
    <w:rsid w:val="54E724ED"/>
    <w:rsid w:val="5D005A8C"/>
    <w:rsid w:val="621A3649"/>
    <w:rsid w:val="63311013"/>
    <w:rsid w:val="6A8739C2"/>
    <w:rsid w:val="6A9C32E3"/>
    <w:rsid w:val="6B1A0C34"/>
    <w:rsid w:val="6B4A7EB4"/>
    <w:rsid w:val="6F946664"/>
    <w:rsid w:val="6F9F60E1"/>
    <w:rsid w:val="71EB37BE"/>
    <w:rsid w:val="72867832"/>
    <w:rsid w:val="7C6F2080"/>
    <w:rsid w:val="7F3347C2"/>
    <w:rsid w:val="7FF6F4D4"/>
    <w:rsid w:val="8BD7DAB3"/>
    <w:rsid w:val="9BBE34BE"/>
    <w:rsid w:val="B3AF4CD9"/>
    <w:rsid w:val="B5CE8681"/>
    <w:rsid w:val="CFBBA06C"/>
    <w:rsid w:val="DEFE4273"/>
    <w:rsid w:val="EDF1B25A"/>
    <w:rsid w:val="F57BA20A"/>
    <w:rsid w:val="F7FDD021"/>
    <w:rsid w:val="FDF7726A"/>
    <w:rsid w:val="FE9DFBA5"/>
    <w:rsid w:val="FEF78332"/>
    <w:rsid w:val="FEFF5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1524</Words>
  <Characters>1565</Characters>
  <Lines>17</Lines>
  <Paragraphs>4</Paragraphs>
  <TotalTime>1</TotalTime>
  <ScaleCrop>false</ScaleCrop>
  <LinksUpToDate>false</LinksUpToDate>
  <CharactersWithSpaces>1565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2022-01-20T01:41:00Z</dcterms:created>
  <dc:creator>长生久视</dc:creator>
  <cp:lastModifiedBy>尹凯</cp:lastModifiedBy>
  <cp:lastPrinted>2022-01-27T19:24:00Z</cp:lastPrinted>
  <dcterms:modified xsi:type="dcterms:W3CDTF">2024-03-20T03:50:10Z</dcterms:modified>
  <dc:title>杭州市生态环境局余杭分局2021年政府信息公开工作年度报告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11DE62B3E09C417BA9A3EF4B41A7C70D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