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b/>
          <w:color w:val="auto"/>
          <w:sz w:val="52"/>
          <w:szCs w:val="52"/>
          <w:highlight w:val="none"/>
        </w:rPr>
      </w:pPr>
    </w:p>
    <w:p>
      <w:pPr>
        <w:jc w:val="center"/>
        <w:rPr>
          <w:rFonts w:hint="eastAsia" w:ascii="宋体" w:hAnsi="宋体" w:eastAsia="宋体"/>
          <w:b/>
          <w:color w:val="auto"/>
          <w:sz w:val="52"/>
          <w:szCs w:val="52"/>
          <w:highlight w:val="none"/>
          <w:lang w:eastAsia="zh-CN"/>
        </w:rPr>
      </w:pPr>
      <w:r>
        <w:rPr>
          <w:rFonts w:hint="eastAsia" w:ascii="宋体" w:hAnsi="宋体"/>
          <w:b/>
          <w:color w:val="auto"/>
          <w:sz w:val="52"/>
          <w:szCs w:val="52"/>
          <w:highlight w:val="none"/>
          <w:lang w:eastAsia="zh-CN"/>
        </w:rPr>
        <w:t>余杭区小额工程全流程电子招投标系统采购项目</w:t>
      </w:r>
    </w:p>
    <w:p>
      <w:pPr>
        <w:jc w:val="center"/>
        <w:rPr>
          <w:rFonts w:ascii="宋体" w:hAnsi="宋体"/>
          <w:b/>
          <w:color w:val="auto"/>
          <w:sz w:val="52"/>
          <w:szCs w:val="52"/>
          <w:highlight w:val="none"/>
        </w:rPr>
      </w:pPr>
    </w:p>
    <w:p>
      <w:pPr>
        <w:jc w:val="center"/>
        <w:rPr>
          <w:rFonts w:ascii="宋体" w:hAnsi="宋体"/>
          <w:b/>
          <w:color w:val="auto"/>
          <w:sz w:val="52"/>
          <w:szCs w:val="52"/>
          <w:highlight w:val="none"/>
        </w:rPr>
      </w:pPr>
    </w:p>
    <w:p>
      <w:pPr>
        <w:jc w:val="center"/>
        <w:rPr>
          <w:rFonts w:ascii="宋体" w:hAnsi="宋体"/>
          <w:b/>
          <w:color w:val="auto"/>
          <w:sz w:val="84"/>
          <w:szCs w:val="84"/>
          <w:highlight w:val="none"/>
        </w:rPr>
      </w:pPr>
      <w:r>
        <w:rPr>
          <w:rFonts w:hint="eastAsia" w:ascii="宋体" w:hAnsi="宋体"/>
          <w:b/>
          <w:color w:val="auto"/>
          <w:sz w:val="84"/>
          <w:szCs w:val="84"/>
          <w:highlight w:val="none"/>
        </w:rPr>
        <w:t>竞争性谈判采购文件</w:t>
      </w:r>
    </w:p>
    <w:p>
      <w:pPr>
        <w:jc w:val="center"/>
        <w:rPr>
          <w:rFonts w:ascii="宋体" w:hAnsi="宋体"/>
          <w:b/>
          <w:color w:val="auto"/>
          <w:sz w:val="36"/>
          <w:szCs w:val="36"/>
          <w:highlight w:val="none"/>
        </w:rPr>
      </w:pPr>
      <w:r>
        <w:rPr>
          <w:rFonts w:hint="eastAsia" w:ascii="宋体" w:hAnsi="宋体"/>
          <w:b/>
          <w:color w:val="auto"/>
          <w:sz w:val="36"/>
          <w:szCs w:val="36"/>
          <w:highlight w:val="none"/>
        </w:rPr>
        <w:t>（项目编号：</w:t>
      </w:r>
      <w:r>
        <w:rPr>
          <w:rFonts w:hint="eastAsia" w:ascii="宋体" w:hAnsi="宋体"/>
          <w:bCs/>
          <w:color w:val="auto"/>
          <w:sz w:val="32"/>
          <w:highlight w:val="none"/>
          <w:lang w:eastAsia="zh-CN"/>
        </w:rPr>
        <w:t>HZYHZFCG-2019-102</w:t>
      </w:r>
      <w:r>
        <w:rPr>
          <w:rFonts w:hint="eastAsia" w:ascii="宋体" w:hAnsi="宋体"/>
          <w:b/>
          <w:color w:val="auto"/>
          <w:sz w:val="36"/>
          <w:szCs w:val="36"/>
          <w:highlight w:val="none"/>
        </w:rPr>
        <w:t>）</w:t>
      </w:r>
    </w:p>
    <w:p>
      <w:pPr>
        <w:jc w:val="center"/>
        <w:rPr>
          <w:rFonts w:ascii="宋体" w:hAnsi="宋体"/>
          <w:b/>
          <w:color w:val="auto"/>
          <w:sz w:val="52"/>
          <w:szCs w:val="52"/>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both"/>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adjustRightInd w:val="0"/>
        <w:snapToGrid w:val="0"/>
        <w:spacing w:line="360" w:lineRule="auto"/>
        <w:jc w:val="center"/>
        <w:rPr>
          <w:rFonts w:ascii="宋体" w:hAnsi="宋体"/>
          <w:b/>
          <w:color w:val="auto"/>
          <w:sz w:val="36"/>
          <w:szCs w:val="36"/>
          <w:highlight w:val="none"/>
        </w:rPr>
      </w:pPr>
      <w:r>
        <w:rPr>
          <w:rFonts w:hint="eastAsia" w:ascii="宋体" w:hAnsi="宋体"/>
          <w:b/>
          <w:color w:val="auto"/>
          <w:sz w:val="36"/>
          <w:szCs w:val="36"/>
          <w:highlight w:val="none"/>
        </w:rPr>
        <w:t xml:space="preserve">采购人： </w:t>
      </w:r>
      <w:r>
        <w:rPr>
          <w:rFonts w:hint="eastAsia" w:ascii="宋体" w:hAnsi="宋体"/>
          <w:b/>
          <w:color w:val="auto"/>
          <w:sz w:val="36"/>
          <w:szCs w:val="36"/>
          <w:highlight w:val="none"/>
          <w:lang w:eastAsia="zh-CN"/>
        </w:rPr>
        <w:t>杭州市余杭区行政服务中心</w:t>
      </w:r>
    </w:p>
    <w:p>
      <w:pPr>
        <w:adjustRightInd w:val="0"/>
        <w:snapToGrid w:val="0"/>
        <w:spacing w:line="360" w:lineRule="auto"/>
        <w:jc w:val="center"/>
        <w:rPr>
          <w:rFonts w:ascii="宋体" w:hAnsi="宋体"/>
          <w:bCs/>
          <w:color w:val="auto"/>
          <w:sz w:val="28"/>
          <w:szCs w:val="28"/>
          <w:highlight w:val="none"/>
        </w:rPr>
      </w:pPr>
      <w:r>
        <w:rPr>
          <w:rFonts w:hint="eastAsia" w:ascii="宋体" w:hAnsi="宋体"/>
          <w:b/>
          <w:color w:val="auto"/>
          <w:sz w:val="36"/>
          <w:szCs w:val="36"/>
          <w:highlight w:val="none"/>
        </w:rPr>
        <w:t>采购代理机构：杭州市公共资源交易中心余杭分中心</w:t>
      </w:r>
    </w:p>
    <w:p>
      <w:pPr>
        <w:spacing w:line="600" w:lineRule="exact"/>
        <w:jc w:val="center"/>
        <w:rPr>
          <w:rFonts w:ascii="宋体" w:hAnsi="宋体"/>
          <w:b/>
          <w:color w:val="auto"/>
          <w:sz w:val="36"/>
          <w:szCs w:val="36"/>
          <w:highlight w:val="none"/>
        </w:rPr>
      </w:pPr>
      <w:r>
        <w:rPr>
          <w:rFonts w:hint="eastAsia" w:ascii="宋体" w:hAnsi="宋体"/>
          <w:b/>
          <w:color w:val="auto"/>
          <w:sz w:val="36"/>
          <w:szCs w:val="36"/>
          <w:highlight w:val="none"/>
        </w:rPr>
        <w:t>20</w:t>
      </w:r>
      <w:r>
        <w:rPr>
          <w:rFonts w:hint="eastAsia" w:ascii="宋体" w:hAnsi="宋体"/>
          <w:b/>
          <w:color w:val="auto"/>
          <w:sz w:val="36"/>
          <w:szCs w:val="36"/>
          <w:highlight w:val="none"/>
          <w:lang w:val="en-US" w:eastAsia="zh-CN"/>
        </w:rPr>
        <w:t>19</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9</w:t>
      </w:r>
      <w:r>
        <w:rPr>
          <w:rFonts w:hint="eastAsia" w:ascii="宋体" w:hAnsi="宋体"/>
          <w:b/>
          <w:color w:val="auto"/>
          <w:sz w:val="36"/>
          <w:szCs w:val="36"/>
          <w:highlight w:val="none"/>
        </w:rPr>
        <w:t>月</w:t>
      </w:r>
    </w:p>
    <w:p>
      <w:pPr>
        <w:spacing w:line="600" w:lineRule="exact"/>
        <w:jc w:val="center"/>
        <w:rPr>
          <w:rFonts w:ascii="宋体" w:hAnsi="宋体"/>
          <w:b/>
          <w:color w:val="auto"/>
          <w:sz w:val="36"/>
          <w:szCs w:val="36"/>
          <w:highlight w:val="none"/>
        </w:rPr>
      </w:pPr>
    </w:p>
    <w:p>
      <w:pPr>
        <w:adjustRightInd w:val="0"/>
        <w:snapToGrid w:val="0"/>
        <w:spacing w:line="480" w:lineRule="auto"/>
        <w:jc w:val="center"/>
        <w:rPr>
          <w:rFonts w:ascii="宋体" w:hAnsi="宋体"/>
          <w:b/>
          <w:bCs/>
          <w:color w:val="auto"/>
          <w:sz w:val="72"/>
          <w:highlight w:val="none"/>
        </w:rPr>
      </w:pPr>
      <w:r>
        <w:rPr>
          <w:rFonts w:hint="eastAsia" w:ascii="宋体" w:hAnsi="宋体"/>
          <w:b/>
          <w:bCs/>
          <w:color w:val="auto"/>
          <w:sz w:val="72"/>
          <w:highlight w:val="none"/>
        </w:rPr>
        <w:t>目     录</w:t>
      </w:r>
    </w:p>
    <w:p>
      <w:pPr>
        <w:pStyle w:val="18"/>
        <w:tabs>
          <w:tab w:val="right" w:leader="dot" w:pos="9241"/>
        </w:tabs>
        <w:rPr>
          <w:rFonts w:ascii="宋体" w:hAnsi="宋体" w:cs="宋体"/>
          <w:color w:val="auto"/>
          <w:kern w:val="2"/>
          <w:sz w:val="24"/>
          <w:szCs w:val="24"/>
          <w:highlight w:val="none"/>
        </w:rPr>
      </w:pPr>
      <w:r>
        <w:rPr>
          <w:rFonts w:ascii="宋体" w:hAnsi="宋体"/>
          <w:color w:val="auto"/>
          <w:highlight w:val="none"/>
        </w:rPr>
        <w:fldChar w:fldCharType="begin"/>
      </w:r>
      <w:r>
        <w:rPr>
          <w:rFonts w:ascii="宋体" w:hAnsi="宋体"/>
          <w:color w:val="auto"/>
          <w:highlight w:val="none"/>
        </w:rPr>
        <w:instrText xml:space="preserve"> TOC \o "1-1" \h \z \u </w:instrText>
      </w:r>
      <w:r>
        <w:rPr>
          <w:rFonts w:ascii="宋体" w:hAnsi="宋体"/>
          <w:color w:val="auto"/>
          <w:highlight w:val="none"/>
        </w:rPr>
        <w:fldChar w:fldCharType="separate"/>
      </w:r>
      <w:r>
        <w:rPr>
          <w:color w:val="auto"/>
          <w:highlight w:val="none"/>
        </w:rPr>
        <w:fldChar w:fldCharType="begin"/>
      </w:r>
      <w:r>
        <w:rPr>
          <w:color w:val="auto"/>
          <w:highlight w:val="none"/>
        </w:rPr>
        <w:instrText xml:space="preserve"> HYPERLINK \l "_Toc4397" </w:instrText>
      </w:r>
      <w:r>
        <w:rPr>
          <w:color w:val="auto"/>
          <w:highlight w:val="none"/>
        </w:rPr>
        <w:fldChar w:fldCharType="separate"/>
      </w:r>
      <w:r>
        <w:rPr>
          <w:rFonts w:hint="eastAsia" w:ascii="宋体" w:hAnsi="宋体" w:cs="宋体"/>
          <w:color w:val="auto"/>
          <w:kern w:val="2"/>
          <w:sz w:val="24"/>
          <w:szCs w:val="24"/>
          <w:highlight w:val="none"/>
        </w:rPr>
        <w:t>供应商注意事项</w:t>
      </w:r>
      <w:r>
        <w:rPr>
          <w:rFonts w:hint="eastAsia" w:ascii="宋体" w:hAnsi="宋体" w:cs="宋体"/>
          <w:color w:val="auto"/>
          <w:kern w:val="2"/>
          <w:sz w:val="24"/>
          <w:szCs w:val="24"/>
          <w:highlight w:val="none"/>
        </w:rPr>
        <w:tab/>
      </w:r>
      <w:r>
        <w:rPr>
          <w:rFonts w:hint="eastAsia" w:ascii="宋体" w:hAnsi="宋体" w:cs="宋体"/>
          <w:color w:val="auto"/>
          <w:kern w:val="2"/>
          <w:sz w:val="24"/>
          <w:szCs w:val="24"/>
          <w:highlight w:val="none"/>
        </w:rPr>
        <w:fldChar w:fldCharType="begin"/>
      </w:r>
      <w:r>
        <w:rPr>
          <w:rFonts w:hint="eastAsia" w:ascii="宋体" w:hAnsi="宋体" w:cs="宋体"/>
          <w:color w:val="auto"/>
          <w:kern w:val="2"/>
          <w:sz w:val="24"/>
          <w:szCs w:val="24"/>
          <w:highlight w:val="none"/>
        </w:rPr>
        <w:instrText xml:space="preserve"> PAGEREF _Toc4397 </w:instrText>
      </w:r>
      <w:r>
        <w:rPr>
          <w:rFonts w:hint="eastAsia" w:ascii="宋体" w:hAnsi="宋体" w:cs="宋体"/>
          <w:color w:val="auto"/>
          <w:kern w:val="2"/>
          <w:sz w:val="24"/>
          <w:szCs w:val="24"/>
          <w:highlight w:val="none"/>
        </w:rPr>
        <w:fldChar w:fldCharType="separate"/>
      </w:r>
      <w:r>
        <w:rPr>
          <w:rFonts w:hint="eastAsia" w:ascii="宋体" w:hAnsi="宋体" w:cs="宋体"/>
          <w:color w:val="auto"/>
          <w:kern w:val="2"/>
          <w:sz w:val="24"/>
          <w:szCs w:val="24"/>
          <w:highlight w:val="none"/>
        </w:rPr>
        <w:t>- 2 -</w:t>
      </w:r>
      <w:r>
        <w:rPr>
          <w:rFonts w:hint="eastAsia" w:ascii="宋体" w:hAnsi="宋体" w:cs="宋体"/>
          <w:color w:val="auto"/>
          <w:kern w:val="2"/>
          <w:sz w:val="24"/>
          <w:szCs w:val="24"/>
          <w:highlight w:val="none"/>
        </w:rPr>
        <w:fldChar w:fldCharType="end"/>
      </w:r>
      <w:r>
        <w:rPr>
          <w:rFonts w:hint="eastAsia" w:ascii="宋体" w:hAnsi="宋体" w:cs="宋体"/>
          <w:color w:val="auto"/>
          <w:kern w:val="2"/>
          <w:sz w:val="24"/>
          <w:szCs w:val="24"/>
          <w:highlight w:val="none"/>
        </w:rPr>
        <w:fldChar w:fldCharType="end"/>
      </w:r>
    </w:p>
    <w:p>
      <w:pPr>
        <w:pStyle w:val="18"/>
        <w:tabs>
          <w:tab w:val="right" w:leader="dot" w:pos="9241"/>
        </w:tabs>
        <w:rPr>
          <w:rFonts w:ascii="宋体" w:hAnsi="宋体" w:cs="宋体"/>
          <w:color w:val="auto"/>
          <w:kern w:val="2"/>
          <w:sz w:val="24"/>
          <w:szCs w:val="24"/>
          <w:highlight w:val="none"/>
        </w:rPr>
      </w:pPr>
      <w:r>
        <w:rPr>
          <w:color w:val="auto"/>
          <w:highlight w:val="none"/>
        </w:rPr>
        <w:fldChar w:fldCharType="begin"/>
      </w:r>
      <w:r>
        <w:rPr>
          <w:color w:val="auto"/>
          <w:highlight w:val="none"/>
        </w:rPr>
        <w:instrText xml:space="preserve"> HYPERLINK \l "_Toc4004" </w:instrText>
      </w:r>
      <w:r>
        <w:rPr>
          <w:color w:val="auto"/>
          <w:highlight w:val="none"/>
        </w:rPr>
        <w:fldChar w:fldCharType="separate"/>
      </w:r>
      <w:r>
        <w:rPr>
          <w:rFonts w:hint="eastAsia" w:ascii="宋体" w:hAnsi="宋体" w:cs="宋体"/>
          <w:color w:val="auto"/>
          <w:kern w:val="2"/>
          <w:sz w:val="24"/>
          <w:szCs w:val="24"/>
          <w:highlight w:val="none"/>
        </w:rPr>
        <w:t>第一部分 采购公告</w:t>
      </w:r>
      <w:r>
        <w:rPr>
          <w:rFonts w:hint="eastAsia" w:ascii="宋体" w:hAnsi="宋体" w:cs="宋体"/>
          <w:color w:val="auto"/>
          <w:kern w:val="2"/>
          <w:sz w:val="24"/>
          <w:szCs w:val="24"/>
          <w:highlight w:val="none"/>
        </w:rPr>
        <w:tab/>
      </w:r>
      <w:r>
        <w:rPr>
          <w:rFonts w:hint="eastAsia" w:ascii="宋体" w:hAnsi="宋体" w:cs="宋体"/>
          <w:color w:val="auto"/>
          <w:kern w:val="2"/>
          <w:sz w:val="24"/>
          <w:szCs w:val="24"/>
          <w:highlight w:val="none"/>
        </w:rPr>
        <w:fldChar w:fldCharType="begin"/>
      </w:r>
      <w:r>
        <w:rPr>
          <w:rFonts w:hint="eastAsia" w:ascii="宋体" w:hAnsi="宋体" w:cs="宋体"/>
          <w:color w:val="auto"/>
          <w:kern w:val="2"/>
          <w:sz w:val="24"/>
          <w:szCs w:val="24"/>
          <w:highlight w:val="none"/>
        </w:rPr>
        <w:instrText xml:space="preserve"> PAGEREF _Toc4004 </w:instrText>
      </w:r>
      <w:r>
        <w:rPr>
          <w:rFonts w:hint="eastAsia" w:ascii="宋体" w:hAnsi="宋体" w:cs="宋体"/>
          <w:color w:val="auto"/>
          <w:kern w:val="2"/>
          <w:sz w:val="24"/>
          <w:szCs w:val="24"/>
          <w:highlight w:val="none"/>
        </w:rPr>
        <w:fldChar w:fldCharType="separate"/>
      </w:r>
      <w:r>
        <w:rPr>
          <w:rFonts w:hint="eastAsia" w:ascii="宋体" w:hAnsi="宋体" w:cs="宋体"/>
          <w:color w:val="auto"/>
          <w:kern w:val="2"/>
          <w:sz w:val="24"/>
          <w:szCs w:val="24"/>
          <w:highlight w:val="none"/>
        </w:rPr>
        <w:t>- 3 -</w:t>
      </w:r>
      <w:r>
        <w:rPr>
          <w:rFonts w:hint="eastAsia" w:ascii="宋体" w:hAnsi="宋体" w:cs="宋体"/>
          <w:color w:val="auto"/>
          <w:kern w:val="2"/>
          <w:sz w:val="24"/>
          <w:szCs w:val="24"/>
          <w:highlight w:val="none"/>
        </w:rPr>
        <w:fldChar w:fldCharType="end"/>
      </w:r>
      <w:r>
        <w:rPr>
          <w:rFonts w:hint="eastAsia" w:ascii="宋体" w:hAnsi="宋体" w:cs="宋体"/>
          <w:color w:val="auto"/>
          <w:kern w:val="2"/>
          <w:sz w:val="24"/>
          <w:szCs w:val="24"/>
          <w:highlight w:val="none"/>
        </w:rPr>
        <w:fldChar w:fldCharType="end"/>
      </w:r>
    </w:p>
    <w:p>
      <w:pPr>
        <w:pStyle w:val="18"/>
        <w:tabs>
          <w:tab w:val="right" w:leader="dot" w:pos="9241"/>
        </w:tabs>
        <w:rPr>
          <w:rFonts w:ascii="宋体" w:hAnsi="宋体" w:cs="宋体"/>
          <w:color w:val="auto"/>
          <w:kern w:val="2"/>
          <w:sz w:val="24"/>
          <w:szCs w:val="24"/>
          <w:highlight w:val="none"/>
        </w:rPr>
      </w:pPr>
      <w:r>
        <w:rPr>
          <w:color w:val="auto"/>
          <w:highlight w:val="none"/>
        </w:rPr>
        <w:fldChar w:fldCharType="begin"/>
      </w:r>
      <w:r>
        <w:rPr>
          <w:color w:val="auto"/>
          <w:highlight w:val="none"/>
        </w:rPr>
        <w:instrText xml:space="preserve"> HYPERLINK \l "_Toc20057" </w:instrText>
      </w:r>
      <w:r>
        <w:rPr>
          <w:color w:val="auto"/>
          <w:highlight w:val="none"/>
        </w:rPr>
        <w:fldChar w:fldCharType="separate"/>
      </w:r>
      <w:r>
        <w:rPr>
          <w:rFonts w:hint="eastAsia" w:ascii="宋体" w:hAnsi="宋体" w:cs="宋体"/>
          <w:color w:val="auto"/>
          <w:kern w:val="2"/>
          <w:sz w:val="24"/>
          <w:szCs w:val="24"/>
          <w:highlight w:val="none"/>
        </w:rPr>
        <w:t>第二部分 供应商须知</w:t>
      </w:r>
      <w:bookmarkStart w:id="38" w:name="_GoBack"/>
      <w:bookmarkEnd w:id="38"/>
      <w:r>
        <w:rPr>
          <w:rFonts w:hint="eastAsia" w:ascii="宋体" w:hAnsi="宋体" w:cs="宋体"/>
          <w:color w:val="auto"/>
          <w:kern w:val="2"/>
          <w:sz w:val="24"/>
          <w:szCs w:val="24"/>
          <w:highlight w:val="none"/>
        </w:rPr>
        <w:tab/>
      </w:r>
      <w:r>
        <w:rPr>
          <w:rFonts w:hint="eastAsia" w:ascii="宋体" w:hAnsi="宋体" w:cs="宋体"/>
          <w:color w:val="auto"/>
          <w:kern w:val="2"/>
          <w:sz w:val="24"/>
          <w:szCs w:val="24"/>
          <w:highlight w:val="none"/>
        </w:rPr>
        <w:fldChar w:fldCharType="begin"/>
      </w:r>
      <w:r>
        <w:rPr>
          <w:rFonts w:hint="eastAsia" w:ascii="宋体" w:hAnsi="宋体" w:cs="宋体"/>
          <w:color w:val="auto"/>
          <w:kern w:val="2"/>
          <w:sz w:val="24"/>
          <w:szCs w:val="24"/>
          <w:highlight w:val="none"/>
        </w:rPr>
        <w:instrText xml:space="preserve"> PAGEREF _Toc20057 </w:instrText>
      </w:r>
      <w:r>
        <w:rPr>
          <w:rFonts w:hint="eastAsia" w:ascii="宋体" w:hAnsi="宋体" w:cs="宋体"/>
          <w:color w:val="auto"/>
          <w:kern w:val="2"/>
          <w:sz w:val="24"/>
          <w:szCs w:val="24"/>
          <w:highlight w:val="none"/>
        </w:rPr>
        <w:fldChar w:fldCharType="separate"/>
      </w:r>
      <w:r>
        <w:rPr>
          <w:rFonts w:hint="eastAsia" w:ascii="宋体" w:hAnsi="宋体" w:cs="宋体"/>
          <w:color w:val="auto"/>
          <w:kern w:val="2"/>
          <w:sz w:val="24"/>
          <w:szCs w:val="24"/>
          <w:highlight w:val="none"/>
        </w:rPr>
        <w:t>- 6 -</w:t>
      </w:r>
      <w:r>
        <w:rPr>
          <w:rFonts w:hint="eastAsia" w:ascii="宋体" w:hAnsi="宋体" w:cs="宋体"/>
          <w:color w:val="auto"/>
          <w:kern w:val="2"/>
          <w:sz w:val="24"/>
          <w:szCs w:val="24"/>
          <w:highlight w:val="none"/>
        </w:rPr>
        <w:fldChar w:fldCharType="end"/>
      </w:r>
      <w:r>
        <w:rPr>
          <w:rFonts w:hint="eastAsia" w:ascii="宋体" w:hAnsi="宋体" w:cs="宋体"/>
          <w:color w:val="auto"/>
          <w:kern w:val="2"/>
          <w:sz w:val="24"/>
          <w:szCs w:val="24"/>
          <w:highlight w:val="none"/>
        </w:rPr>
        <w:fldChar w:fldCharType="end"/>
      </w:r>
    </w:p>
    <w:p>
      <w:pPr>
        <w:pStyle w:val="18"/>
        <w:tabs>
          <w:tab w:val="right" w:leader="dot" w:pos="9241"/>
        </w:tabs>
        <w:rPr>
          <w:rFonts w:ascii="宋体" w:hAnsi="宋体" w:cs="宋体"/>
          <w:color w:val="auto"/>
          <w:kern w:val="2"/>
          <w:sz w:val="24"/>
          <w:szCs w:val="24"/>
          <w:highlight w:val="none"/>
        </w:rPr>
      </w:pPr>
      <w:r>
        <w:rPr>
          <w:color w:val="auto"/>
          <w:highlight w:val="none"/>
        </w:rPr>
        <w:fldChar w:fldCharType="begin"/>
      </w:r>
      <w:r>
        <w:rPr>
          <w:color w:val="auto"/>
          <w:highlight w:val="none"/>
        </w:rPr>
        <w:instrText xml:space="preserve"> HYPERLINK \l "_Toc12063" </w:instrText>
      </w:r>
      <w:r>
        <w:rPr>
          <w:color w:val="auto"/>
          <w:highlight w:val="none"/>
        </w:rPr>
        <w:fldChar w:fldCharType="separate"/>
      </w:r>
      <w:r>
        <w:rPr>
          <w:rFonts w:hint="eastAsia" w:ascii="宋体" w:hAnsi="宋体" w:cs="宋体"/>
          <w:color w:val="auto"/>
          <w:kern w:val="2"/>
          <w:sz w:val="24"/>
          <w:szCs w:val="24"/>
          <w:highlight w:val="none"/>
        </w:rPr>
        <w:t>第三部分 采购需求</w:t>
      </w:r>
      <w:r>
        <w:rPr>
          <w:rFonts w:hint="eastAsia" w:ascii="宋体" w:hAnsi="宋体" w:cs="宋体"/>
          <w:color w:val="auto"/>
          <w:kern w:val="2"/>
          <w:sz w:val="24"/>
          <w:szCs w:val="24"/>
          <w:highlight w:val="none"/>
        </w:rPr>
        <w:tab/>
      </w:r>
      <w:r>
        <w:rPr>
          <w:rFonts w:hint="eastAsia" w:ascii="宋体" w:hAnsi="宋体" w:cs="宋体"/>
          <w:color w:val="auto"/>
          <w:kern w:val="2"/>
          <w:sz w:val="24"/>
          <w:szCs w:val="24"/>
          <w:highlight w:val="none"/>
        </w:rPr>
        <w:fldChar w:fldCharType="begin"/>
      </w:r>
      <w:r>
        <w:rPr>
          <w:rFonts w:hint="eastAsia" w:ascii="宋体" w:hAnsi="宋体" w:cs="宋体"/>
          <w:color w:val="auto"/>
          <w:kern w:val="2"/>
          <w:sz w:val="24"/>
          <w:szCs w:val="24"/>
          <w:highlight w:val="none"/>
        </w:rPr>
        <w:instrText xml:space="preserve"> PAGEREF _Toc12063 </w:instrText>
      </w:r>
      <w:r>
        <w:rPr>
          <w:rFonts w:hint="eastAsia" w:ascii="宋体" w:hAnsi="宋体" w:cs="宋体"/>
          <w:color w:val="auto"/>
          <w:kern w:val="2"/>
          <w:sz w:val="24"/>
          <w:szCs w:val="24"/>
          <w:highlight w:val="none"/>
        </w:rPr>
        <w:fldChar w:fldCharType="separate"/>
      </w:r>
      <w:r>
        <w:rPr>
          <w:rFonts w:hint="eastAsia" w:ascii="宋体" w:hAnsi="宋体" w:cs="宋体"/>
          <w:color w:val="auto"/>
          <w:kern w:val="2"/>
          <w:sz w:val="24"/>
          <w:szCs w:val="24"/>
          <w:highlight w:val="none"/>
        </w:rPr>
        <w:t>- 18 -</w:t>
      </w:r>
      <w:r>
        <w:rPr>
          <w:rFonts w:hint="eastAsia" w:ascii="宋体" w:hAnsi="宋体" w:cs="宋体"/>
          <w:color w:val="auto"/>
          <w:kern w:val="2"/>
          <w:sz w:val="24"/>
          <w:szCs w:val="24"/>
          <w:highlight w:val="none"/>
        </w:rPr>
        <w:fldChar w:fldCharType="end"/>
      </w:r>
      <w:r>
        <w:rPr>
          <w:rFonts w:hint="eastAsia" w:ascii="宋体" w:hAnsi="宋体" w:cs="宋体"/>
          <w:color w:val="auto"/>
          <w:kern w:val="2"/>
          <w:sz w:val="24"/>
          <w:szCs w:val="24"/>
          <w:highlight w:val="none"/>
        </w:rPr>
        <w:fldChar w:fldCharType="end"/>
      </w:r>
    </w:p>
    <w:p>
      <w:pPr>
        <w:pStyle w:val="18"/>
        <w:tabs>
          <w:tab w:val="right" w:leader="dot" w:pos="9241"/>
        </w:tabs>
        <w:rPr>
          <w:rFonts w:ascii="宋体" w:hAnsi="宋体" w:cs="宋体"/>
          <w:color w:val="auto"/>
          <w:kern w:val="2"/>
          <w:sz w:val="24"/>
          <w:szCs w:val="24"/>
          <w:highlight w:val="none"/>
        </w:rPr>
      </w:pPr>
      <w:r>
        <w:rPr>
          <w:color w:val="auto"/>
          <w:highlight w:val="none"/>
        </w:rPr>
        <w:fldChar w:fldCharType="begin"/>
      </w:r>
      <w:r>
        <w:rPr>
          <w:color w:val="auto"/>
          <w:highlight w:val="none"/>
        </w:rPr>
        <w:instrText xml:space="preserve"> HYPERLINK \l "_Toc5262" </w:instrText>
      </w:r>
      <w:r>
        <w:rPr>
          <w:color w:val="auto"/>
          <w:highlight w:val="none"/>
        </w:rPr>
        <w:fldChar w:fldCharType="separate"/>
      </w:r>
      <w:r>
        <w:rPr>
          <w:rFonts w:hint="eastAsia" w:ascii="宋体" w:hAnsi="宋体" w:cs="宋体"/>
          <w:color w:val="auto"/>
          <w:kern w:val="2"/>
          <w:sz w:val="24"/>
          <w:szCs w:val="24"/>
          <w:highlight w:val="none"/>
        </w:rPr>
        <w:t>第四部分 合同样本</w:t>
      </w:r>
      <w:r>
        <w:rPr>
          <w:rFonts w:hint="eastAsia" w:ascii="宋体" w:hAnsi="宋体" w:cs="宋体"/>
          <w:color w:val="auto"/>
          <w:kern w:val="2"/>
          <w:sz w:val="24"/>
          <w:szCs w:val="24"/>
          <w:highlight w:val="none"/>
        </w:rPr>
        <w:tab/>
      </w:r>
      <w:r>
        <w:rPr>
          <w:rFonts w:hint="eastAsia" w:ascii="宋体" w:hAnsi="宋体" w:cs="宋体"/>
          <w:color w:val="auto"/>
          <w:kern w:val="2"/>
          <w:sz w:val="24"/>
          <w:szCs w:val="24"/>
          <w:highlight w:val="none"/>
        </w:rPr>
        <w:fldChar w:fldCharType="begin"/>
      </w:r>
      <w:r>
        <w:rPr>
          <w:rFonts w:hint="eastAsia" w:ascii="宋体" w:hAnsi="宋体" w:cs="宋体"/>
          <w:color w:val="auto"/>
          <w:kern w:val="2"/>
          <w:sz w:val="24"/>
          <w:szCs w:val="24"/>
          <w:highlight w:val="none"/>
        </w:rPr>
        <w:instrText xml:space="preserve"> PAGEREF _Toc5262 </w:instrText>
      </w:r>
      <w:r>
        <w:rPr>
          <w:rFonts w:hint="eastAsia" w:ascii="宋体" w:hAnsi="宋体" w:cs="宋体"/>
          <w:color w:val="auto"/>
          <w:kern w:val="2"/>
          <w:sz w:val="24"/>
          <w:szCs w:val="24"/>
          <w:highlight w:val="none"/>
        </w:rPr>
        <w:fldChar w:fldCharType="separate"/>
      </w:r>
      <w:r>
        <w:rPr>
          <w:rFonts w:hint="eastAsia" w:ascii="宋体" w:hAnsi="宋体" w:cs="宋体"/>
          <w:color w:val="auto"/>
          <w:kern w:val="2"/>
          <w:sz w:val="24"/>
          <w:szCs w:val="24"/>
          <w:highlight w:val="none"/>
        </w:rPr>
        <w:t>- 23 -</w:t>
      </w:r>
      <w:r>
        <w:rPr>
          <w:rFonts w:hint="eastAsia" w:ascii="宋体" w:hAnsi="宋体" w:cs="宋体"/>
          <w:color w:val="auto"/>
          <w:kern w:val="2"/>
          <w:sz w:val="24"/>
          <w:szCs w:val="24"/>
          <w:highlight w:val="none"/>
        </w:rPr>
        <w:fldChar w:fldCharType="end"/>
      </w:r>
      <w:r>
        <w:rPr>
          <w:rFonts w:hint="eastAsia" w:ascii="宋体" w:hAnsi="宋体" w:cs="宋体"/>
          <w:color w:val="auto"/>
          <w:kern w:val="2"/>
          <w:sz w:val="24"/>
          <w:szCs w:val="24"/>
          <w:highlight w:val="none"/>
        </w:rPr>
        <w:fldChar w:fldCharType="end"/>
      </w:r>
    </w:p>
    <w:p>
      <w:pPr>
        <w:pStyle w:val="18"/>
        <w:tabs>
          <w:tab w:val="right" w:leader="dot" w:pos="9241"/>
        </w:tabs>
        <w:rPr>
          <w:color w:val="auto"/>
          <w:kern w:val="2"/>
          <w:highlight w:val="none"/>
        </w:rPr>
      </w:pPr>
      <w:r>
        <w:rPr>
          <w:color w:val="auto"/>
          <w:highlight w:val="none"/>
        </w:rPr>
        <w:fldChar w:fldCharType="begin"/>
      </w:r>
      <w:r>
        <w:rPr>
          <w:color w:val="auto"/>
          <w:highlight w:val="none"/>
        </w:rPr>
        <w:instrText xml:space="preserve"> HYPERLINK \l "_Toc29102" </w:instrText>
      </w:r>
      <w:r>
        <w:rPr>
          <w:color w:val="auto"/>
          <w:highlight w:val="none"/>
        </w:rPr>
        <w:fldChar w:fldCharType="separate"/>
      </w:r>
      <w:r>
        <w:rPr>
          <w:rFonts w:hint="eastAsia" w:ascii="宋体" w:hAnsi="宋体" w:cs="宋体"/>
          <w:color w:val="auto"/>
          <w:kern w:val="2"/>
          <w:sz w:val="24"/>
          <w:szCs w:val="24"/>
          <w:highlight w:val="none"/>
        </w:rPr>
        <w:t>第五部分 响应文件格式</w:t>
      </w:r>
      <w:r>
        <w:rPr>
          <w:rFonts w:hint="eastAsia" w:ascii="宋体" w:hAnsi="宋体" w:cs="宋体"/>
          <w:color w:val="auto"/>
          <w:kern w:val="2"/>
          <w:sz w:val="24"/>
          <w:szCs w:val="24"/>
          <w:highlight w:val="none"/>
        </w:rPr>
        <w:tab/>
      </w:r>
      <w:r>
        <w:rPr>
          <w:rFonts w:hint="eastAsia" w:ascii="宋体" w:hAnsi="宋体" w:cs="宋体"/>
          <w:color w:val="auto"/>
          <w:kern w:val="2"/>
          <w:sz w:val="24"/>
          <w:szCs w:val="24"/>
          <w:highlight w:val="none"/>
        </w:rPr>
        <w:fldChar w:fldCharType="begin"/>
      </w:r>
      <w:r>
        <w:rPr>
          <w:rFonts w:hint="eastAsia" w:ascii="宋体" w:hAnsi="宋体" w:cs="宋体"/>
          <w:color w:val="auto"/>
          <w:kern w:val="2"/>
          <w:sz w:val="24"/>
          <w:szCs w:val="24"/>
          <w:highlight w:val="none"/>
        </w:rPr>
        <w:instrText xml:space="preserve"> PAGEREF _Toc29102 </w:instrText>
      </w:r>
      <w:r>
        <w:rPr>
          <w:rFonts w:hint="eastAsia" w:ascii="宋体" w:hAnsi="宋体" w:cs="宋体"/>
          <w:color w:val="auto"/>
          <w:kern w:val="2"/>
          <w:sz w:val="24"/>
          <w:szCs w:val="24"/>
          <w:highlight w:val="none"/>
        </w:rPr>
        <w:fldChar w:fldCharType="separate"/>
      </w:r>
      <w:r>
        <w:rPr>
          <w:rFonts w:hint="eastAsia" w:ascii="宋体" w:hAnsi="宋体" w:cs="宋体"/>
          <w:color w:val="auto"/>
          <w:kern w:val="2"/>
          <w:sz w:val="24"/>
          <w:szCs w:val="24"/>
          <w:highlight w:val="none"/>
        </w:rPr>
        <w:t>- 26 -</w:t>
      </w:r>
      <w:r>
        <w:rPr>
          <w:rFonts w:hint="eastAsia" w:ascii="宋体" w:hAnsi="宋体" w:cs="宋体"/>
          <w:color w:val="auto"/>
          <w:kern w:val="2"/>
          <w:sz w:val="24"/>
          <w:szCs w:val="24"/>
          <w:highlight w:val="none"/>
        </w:rPr>
        <w:fldChar w:fldCharType="end"/>
      </w:r>
      <w:r>
        <w:rPr>
          <w:rFonts w:hint="eastAsia" w:ascii="宋体" w:hAnsi="宋体" w:cs="宋体"/>
          <w:color w:val="auto"/>
          <w:kern w:val="2"/>
          <w:sz w:val="24"/>
          <w:szCs w:val="24"/>
          <w:highlight w:val="none"/>
        </w:rPr>
        <w:fldChar w:fldCharType="end"/>
      </w:r>
    </w:p>
    <w:p>
      <w:pPr>
        <w:rPr>
          <w:rFonts w:ascii="宋体" w:hAnsi="宋体"/>
          <w:color w:val="auto"/>
          <w:highlight w:val="none"/>
        </w:rPr>
      </w:pPr>
      <w:r>
        <w:rPr>
          <w:rFonts w:ascii="宋体" w:hAnsi="宋体"/>
          <w:color w:val="auto"/>
          <w:kern w:val="0"/>
          <w:highlight w:val="none"/>
        </w:rPr>
        <w:fldChar w:fldCharType="end"/>
      </w:r>
    </w:p>
    <w:p>
      <w:pPr>
        <w:pStyle w:val="40"/>
        <w:rPr>
          <w:rFonts w:ascii="宋体" w:hAnsi="宋体" w:eastAsia="宋体"/>
          <w:color w:val="auto"/>
          <w:highlight w:val="none"/>
        </w:rPr>
      </w:pPr>
      <w:bookmarkStart w:id="0" w:name="_Toc4397"/>
      <w:r>
        <w:rPr>
          <w:rFonts w:hint="eastAsia" w:ascii="宋体" w:hAnsi="宋体" w:eastAsia="宋体"/>
          <w:color w:val="auto"/>
          <w:highlight w:val="none"/>
        </w:rPr>
        <w:t>供应商注意事项</w:t>
      </w:r>
      <w:bookmarkEnd w:id="0"/>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一、如遇提交响应文件截止推迟、采购需求变动等，采购代理机构将会在网上发布更正公告（通知），请供应商及时关注原采购信息发布媒介！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二</w:t>
      </w:r>
      <w:r>
        <w:rPr>
          <w:rFonts w:hint="eastAsia" w:ascii="宋体" w:hAnsi="宋体" w:cs="宋体"/>
          <w:color w:val="auto"/>
          <w:sz w:val="24"/>
          <w:highlight w:val="none"/>
        </w:rPr>
        <w:t>、开标时间（提交响应文件截止）以“北京时间”为准，供应商应当在开标时间前到达开标室并递交响应文件，否则响应文件将被拒绝接收。</w:t>
      </w:r>
    </w:p>
    <w:p>
      <w:pPr>
        <w:spacing w:line="360" w:lineRule="auto"/>
        <w:ind w:firstLine="560" w:firstLineChars="200"/>
        <w:rPr>
          <w:rFonts w:ascii="宋体" w:hAnsi="宋体"/>
          <w:color w:val="auto"/>
          <w:sz w:val="28"/>
          <w:szCs w:val="28"/>
          <w:highlight w:val="none"/>
        </w:rPr>
      </w:pPr>
    </w:p>
    <w:p>
      <w:pPr>
        <w:pStyle w:val="40"/>
        <w:rPr>
          <w:rFonts w:ascii="宋体" w:hAnsi="宋体" w:eastAsia="宋体"/>
          <w:color w:val="auto"/>
          <w:highlight w:val="none"/>
        </w:rPr>
      </w:pPr>
      <w:r>
        <w:rPr>
          <w:rFonts w:ascii="宋体" w:hAnsi="宋体" w:eastAsia="宋体"/>
          <w:color w:val="auto"/>
          <w:highlight w:val="none"/>
        </w:rPr>
        <w:br w:type="page"/>
      </w:r>
      <w:bookmarkStart w:id="1" w:name="_Toc4004"/>
      <w:r>
        <w:rPr>
          <w:rFonts w:hint="eastAsia" w:ascii="宋体" w:hAnsi="宋体" w:eastAsia="宋体"/>
          <w:color w:val="auto"/>
          <w:highlight w:val="none"/>
        </w:rPr>
        <w:t>第一部分 采购公告</w:t>
      </w:r>
      <w:bookmarkEnd w:id="1"/>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根据《中华人民共和国政府采购法》、《政府采购非招标采购方式管理办法》等规定，经杭州市余杭区财政局余办确</w:t>
      </w:r>
      <w:r>
        <w:rPr>
          <w:rFonts w:hint="eastAsia" w:ascii="宋体" w:hAnsi="宋体"/>
          <w:color w:val="auto"/>
          <w:sz w:val="24"/>
          <w:highlight w:val="none"/>
          <w:lang w:eastAsia="zh-CN"/>
        </w:rPr>
        <w:t>临</w:t>
      </w:r>
      <w:r>
        <w:rPr>
          <w:rFonts w:hint="eastAsia" w:ascii="宋体" w:hAnsi="宋体"/>
          <w:color w:val="auto"/>
          <w:sz w:val="24"/>
          <w:highlight w:val="none"/>
        </w:rPr>
        <w:t>【20</w:t>
      </w:r>
      <w:r>
        <w:rPr>
          <w:rFonts w:hint="eastAsia" w:ascii="宋体" w:hAnsi="宋体"/>
          <w:color w:val="auto"/>
          <w:sz w:val="24"/>
          <w:highlight w:val="none"/>
          <w:lang w:val="en-US" w:eastAsia="zh-CN"/>
        </w:rPr>
        <w:t>19</w:t>
      </w:r>
      <w:r>
        <w:rPr>
          <w:rFonts w:hint="eastAsia" w:ascii="宋体" w:hAnsi="宋体"/>
          <w:color w:val="auto"/>
          <w:sz w:val="24"/>
          <w:highlight w:val="none"/>
        </w:rPr>
        <w:t>】</w:t>
      </w:r>
      <w:r>
        <w:rPr>
          <w:rFonts w:hint="eastAsia" w:ascii="宋体" w:hAnsi="宋体"/>
          <w:color w:val="auto"/>
          <w:sz w:val="24"/>
          <w:highlight w:val="none"/>
          <w:lang w:val="en-US" w:eastAsia="zh-CN"/>
        </w:rPr>
        <w:t>4842</w:t>
      </w:r>
      <w:r>
        <w:rPr>
          <w:rFonts w:hint="eastAsia" w:ascii="宋体" w:hAnsi="宋体"/>
          <w:color w:val="auto"/>
          <w:sz w:val="24"/>
          <w:highlight w:val="none"/>
        </w:rPr>
        <w:t>号确认书批准，</w:t>
      </w:r>
      <w:r>
        <w:rPr>
          <w:rFonts w:hint="eastAsia" w:ascii="宋体" w:hAnsi="宋体"/>
          <w:color w:val="000000"/>
          <w:sz w:val="24"/>
        </w:rPr>
        <w:t>杭州市公共资源交易中心余杭分中心特邀请</w:t>
      </w:r>
      <w:r>
        <w:rPr>
          <w:rFonts w:hint="eastAsia" w:ascii="Times New Roman" w:hAnsi="Times New Roman"/>
          <w:b/>
          <w:color w:val="auto"/>
          <w:sz w:val="24"/>
          <w:szCs w:val="20"/>
          <w:highlight w:val="none"/>
        </w:rPr>
        <w:t>浙江德方智能科技有限公司、浙江招天下招投标交易平台有限公司</w:t>
      </w:r>
      <w:r>
        <w:rPr>
          <w:rFonts w:hint="eastAsia" w:ascii="宋体" w:hAnsi="宋体"/>
          <w:color w:val="000000"/>
          <w:sz w:val="24"/>
        </w:rPr>
        <w:t>参加“</w:t>
      </w:r>
      <w:r>
        <w:rPr>
          <w:rFonts w:hint="eastAsia" w:ascii="宋体" w:hAnsi="宋体"/>
          <w:color w:val="auto"/>
          <w:sz w:val="24"/>
          <w:highlight w:val="none"/>
          <w:lang w:eastAsia="zh-CN"/>
        </w:rPr>
        <w:t>余杭区小额工程全流程电子招投标系统采购项目</w:t>
      </w:r>
      <w:r>
        <w:rPr>
          <w:rFonts w:hint="eastAsia" w:ascii="宋体" w:hAnsi="宋体"/>
          <w:color w:val="000000"/>
          <w:sz w:val="24"/>
        </w:rPr>
        <w:t>”竞争性谈判</w:t>
      </w:r>
      <w:r>
        <w:rPr>
          <w:rFonts w:hint="eastAsia" w:ascii="宋体" w:hAnsi="宋体"/>
          <w:color w:val="000000"/>
          <w:sz w:val="24"/>
          <w:lang w:eastAsia="zh-CN"/>
        </w:rPr>
        <w:t>。</w:t>
      </w:r>
    </w:p>
    <w:p>
      <w:pPr>
        <w:adjustRightInd w:val="0"/>
        <w:snapToGrid w:val="0"/>
        <w:spacing w:line="360" w:lineRule="auto"/>
        <w:rPr>
          <w:rFonts w:ascii="宋体" w:hAnsi="宋体"/>
          <w:color w:val="auto"/>
          <w:sz w:val="24"/>
          <w:highlight w:val="none"/>
        </w:rPr>
      </w:pPr>
      <w:r>
        <w:rPr>
          <w:rFonts w:hint="eastAsia" w:ascii="宋体" w:hAnsi="宋体"/>
          <w:b/>
          <w:color w:val="auto"/>
          <w:sz w:val="24"/>
          <w:highlight w:val="none"/>
        </w:rPr>
        <w:t>一、项目名称及编号：</w:t>
      </w:r>
      <w:r>
        <w:rPr>
          <w:rFonts w:hint="eastAsia" w:ascii="宋体" w:hAnsi="宋体"/>
          <w:color w:val="auto"/>
          <w:sz w:val="24"/>
          <w:highlight w:val="none"/>
          <w:lang w:eastAsia="zh-CN"/>
        </w:rPr>
        <w:t>余杭区小额工程全流程电子招投标系统采购项目</w:t>
      </w:r>
      <w:r>
        <w:rPr>
          <w:rFonts w:hint="eastAsia" w:ascii="宋体" w:hAnsi="宋体"/>
          <w:color w:val="auto"/>
          <w:sz w:val="24"/>
          <w:highlight w:val="none"/>
        </w:rPr>
        <w:t>（</w:t>
      </w:r>
      <w:r>
        <w:rPr>
          <w:rFonts w:hint="eastAsia" w:ascii="宋体" w:hAnsi="宋体"/>
          <w:color w:val="auto"/>
          <w:sz w:val="24"/>
          <w:highlight w:val="none"/>
          <w:lang w:eastAsia="zh-CN"/>
        </w:rPr>
        <w:t>HZYHZFCG-2019-102</w:t>
      </w:r>
      <w:r>
        <w:rPr>
          <w:rFonts w:hint="eastAsia" w:ascii="宋体" w:hAnsi="宋体"/>
          <w:color w:val="auto"/>
          <w:sz w:val="24"/>
          <w:highlight w:val="none"/>
        </w:rPr>
        <w:t>）。</w:t>
      </w:r>
    </w:p>
    <w:p>
      <w:pPr>
        <w:adjustRightInd w:val="0"/>
        <w:snapToGrid w:val="0"/>
        <w:spacing w:line="360" w:lineRule="auto"/>
        <w:rPr>
          <w:rFonts w:ascii="宋体" w:hAnsi="宋体"/>
          <w:b/>
          <w:bCs/>
          <w:color w:val="auto"/>
          <w:sz w:val="24"/>
          <w:highlight w:val="none"/>
        </w:rPr>
      </w:pPr>
      <w:r>
        <w:rPr>
          <w:rFonts w:hint="eastAsia" w:ascii="宋体" w:hAnsi="宋体"/>
          <w:b/>
          <w:bCs/>
          <w:color w:val="auto"/>
          <w:sz w:val="24"/>
          <w:highlight w:val="none"/>
        </w:rPr>
        <w:t>二、采购组织类型：政府集中采购</w:t>
      </w:r>
    </w:p>
    <w:p>
      <w:pPr>
        <w:adjustRightInd w:val="0"/>
        <w:snapToGrid w:val="0"/>
        <w:spacing w:line="360" w:lineRule="auto"/>
        <w:rPr>
          <w:rFonts w:ascii="宋体" w:hAnsi="宋体"/>
          <w:b/>
          <w:bCs/>
          <w:color w:val="auto"/>
          <w:sz w:val="24"/>
          <w:highlight w:val="none"/>
        </w:rPr>
      </w:pPr>
      <w:r>
        <w:rPr>
          <w:rFonts w:hint="eastAsia" w:ascii="宋体" w:hAnsi="宋体"/>
          <w:b/>
          <w:bCs/>
          <w:color w:val="auto"/>
          <w:sz w:val="24"/>
          <w:highlight w:val="none"/>
        </w:rPr>
        <w:t>三、采购方式：竞争性谈判</w:t>
      </w:r>
    </w:p>
    <w:p>
      <w:pPr>
        <w:snapToGrid w:val="0"/>
        <w:rPr>
          <w:rFonts w:hint="eastAsia" w:ascii="宋体" w:hAnsi="宋体" w:eastAsia="宋体" w:cs="Arial"/>
          <w:b/>
          <w:bCs/>
          <w:color w:val="auto"/>
          <w:sz w:val="24"/>
          <w:szCs w:val="24"/>
          <w:highlight w:val="none"/>
          <w:lang w:val="en-US" w:eastAsia="zh-CN"/>
        </w:rPr>
      </w:pPr>
      <w:r>
        <w:rPr>
          <w:rFonts w:hint="eastAsia" w:ascii="宋体" w:hAnsi="宋体" w:cs="Arial"/>
          <w:b/>
          <w:color w:val="auto"/>
          <w:sz w:val="24"/>
          <w:szCs w:val="24"/>
          <w:highlight w:val="none"/>
        </w:rPr>
        <w:t>四、</w:t>
      </w:r>
      <w:r>
        <w:rPr>
          <w:rFonts w:hint="eastAsia" w:ascii="宋体" w:hAnsi="宋体" w:cs="Arial"/>
          <w:b/>
          <w:bCs/>
          <w:color w:val="auto"/>
          <w:sz w:val="24"/>
          <w:szCs w:val="24"/>
          <w:highlight w:val="none"/>
        </w:rPr>
        <w:t>采购内容</w:t>
      </w:r>
      <w:r>
        <w:rPr>
          <w:rFonts w:hint="eastAsia" w:ascii="宋体" w:hAnsi="宋体" w:cs="Arial"/>
          <w:b/>
          <w:bCs/>
          <w:color w:val="auto"/>
          <w:sz w:val="24"/>
          <w:szCs w:val="24"/>
          <w:highlight w:val="none"/>
          <w:lang w:eastAsia="zh-CN"/>
        </w:rPr>
        <w:t>及预算</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本项目采购内容为小额工程全流程电子招投标系统的采购、调试、培训和相关维护等，具体要求详见本采购文件“第三部分 采购需求”。</w:t>
      </w:r>
    </w:p>
    <w:p>
      <w:pPr>
        <w:adjustRightInd w:val="0"/>
        <w:snapToGrid w:val="0"/>
        <w:spacing w:line="360" w:lineRule="auto"/>
        <w:ind w:firstLine="480" w:firstLineChars="200"/>
        <w:rPr>
          <w:rFonts w:hint="eastAsia" w:ascii="宋体" w:hAnsi="宋体" w:eastAsia="宋体"/>
          <w:color w:val="auto"/>
          <w:sz w:val="24"/>
          <w:highlight w:val="none"/>
          <w:lang w:val="en-US" w:eastAsia="zh-CN"/>
        </w:rPr>
      </w:pPr>
      <w:r>
        <w:rPr>
          <w:rFonts w:hint="eastAsia" w:ascii="宋体" w:hAnsi="宋体"/>
          <w:color w:val="auto"/>
          <w:sz w:val="24"/>
          <w:highlight w:val="none"/>
          <w:lang w:eastAsia="zh-CN"/>
        </w:rPr>
        <w:t>预算：</w:t>
      </w:r>
      <w:r>
        <w:rPr>
          <w:rFonts w:hint="eastAsia" w:ascii="宋体" w:hAnsi="宋体"/>
          <w:color w:val="auto"/>
          <w:sz w:val="24"/>
          <w:highlight w:val="none"/>
          <w:lang w:val="en-US" w:eastAsia="zh-CN"/>
        </w:rPr>
        <w:t>55万元。</w:t>
      </w:r>
    </w:p>
    <w:p>
      <w:pPr>
        <w:snapToGrid w:val="0"/>
        <w:rPr>
          <w:rFonts w:ascii="宋体" w:hAnsi="宋体" w:cs="Arial"/>
          <w:b/>
          <w:bCs/>
          <w:color w:val="auto"/>
          <w:sz w:val="24"/>
          <w:szCs w:val="24"/>
          <w:highlight w:val="none"/>
        </w:rPr>
      </w:pPr>
      <w:r>
        <w:rPr>
          <w:rFonts w:hint="eastAsia" w:ascii="宋体" w:hAnsi="宋体" w:cs="Arial"/>
          <w:b/>
          <w:color w:val="auto"/>
          <w:sz w:val="24"/>
          <w:szCs w:val="24"/>
          <w:highlight w:val="none"/>
        </w:rPr>
        <w:t>五</w:t>
      </w:r>
      <w:r>
        <w:rPr>
          <w:rFonts w:hint="eastAsia" w:ascii="宋体" w:hAnsi="宋体" w:cs="Arial"/>
          <w:color w:val="auto"/>
          <w:sz w:val="24"/>
          <w:szCs w:val="24"/>
          <w:highlight w:val="none"/>
        </w:rPr>
        <w:t>、</w:t>
      </w:r>
      <w:r>
        <w:rPr>
          <w:rFonts w:hint="eastAsia" w:ascii="宋体" w:hAnsi="宋体" w:cs="Arial"/>
          <w:b/>
          <w:bCs/>
          <w:color w:val="auto"/>
          <w:sz w:val="24"/>
          <w:szCs w:val="24"/>
          <w:highlight w:val="none"/>
        </w:rPr>
        <w:t>合格供应商的资格要求</w:t>
      </w:r>
    </w:p>
    <w:p>
      <w:pPr>
        <w:adjustRightInd w:val="0"/>
        <w:snapToGrid w:val="0"/>
        <w:spacing w:line="360" w:lineRule="auto"/>
        <w:ind w:firstLine="480" w:firstLineChars="200"/>
        <w:rPr>
          <w:rFonts w:hint="eastAsia" w:ascii="宋体" w:hAnsi="宋体"/>
          <w:color w:val="auto"/>
          <w:sz w:val="24"/>
          <w:highlight w:val="none"/>
          <w:lang w:eastAsia="zh-CN"/>
        </w:rPr>
      </w:pPr>
      <w:bookmarkStart w:id="2" w:name="B18_投标供应商的资格要求"/>
      <w:r>
        <w:rPr>
          <w:rFonts w:hint="eastAsia" w:ascii="宋体" w:hAnsi="宋体"/>
          <w:color w:val="auto"/>
          <w:sz w:val="24"/>
          <w:highlight w:val="none"/>
          <w:lang w:val="en-US" w:eastAsia="zh-CN"/>
        </w:rPr>
        <w:t>1.</w:t>
      </w:r>
      <w:r>
        <w:rPr>
          <w:rFonts w:hint="eastAsia" w:ascii="宋体" w:hAnsi="宋体"/>
          <w:color w:val="auto"/>
          <w:sz w:val="24"/>
          <w:highlight w:val="none"/>
        </w:rPr>
        <w:t>符合《中华人民共和国政府采购法》第二十二条供应商应当具备的条件和浙财采监【2013】24号《关于规范政府采购供应商资格设定及资格审查的通知》第六条规定</w:t>
      </w:r>
      <w:bookmarkEnd w:id="2"/>
      <w:r>
        <w:rPr>
          <w:rFonts w:hint="eastAsia" w:ascii="宋体" w:hAnsi="宋体"/>
          <w:color w:val="auto"/>
          <w:sz w:val="24"/>
          <w:highlight w:val="none"/>
          <w:lang w:eastAsia="zh-CN"/>
        </w:rPr>
        <w:t>；</w:t>
      </w:r>
    </w:p>
    <w:p>
      <w:pPr>
        <w:adjustRightInd w:val="0"/>
        <w:snapToGrid w:val="0"/>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w:t>
      </w:r>
      <w:r>
        <w:rPr>
          <w:rFonts w:hint="eastAsia" w:ascii="宋体" w:hAnsi="宋体" w:cs="宋体"/>
          <w:color w:val="auto"/>
          <w:sz w:val="24"/>
          <w:highlight w:val="none"/>
          <w:lang w:val="en-US" w:eastAsia="zh-CN"/>
        </w:rPr>
        <w:t>谢绝联合体投标。</w:t>
      </w:r>
    </w:p>
    <w:p>
      <w:pPr>
        <w:adjustRightInd w:val="0"/>
        <w:snapToGrid w:val="0"/>
        <w:spacing w:line="360" w:lineRule="auto"/>
        <w:rPr>
          <w:rFonts w:ascii="宋体" w:hAnsi="宋体"/>
          <w:color w:val="auto"/>
          <w:sz w:val="24"/>
          <w:highlight w:val="none"/>
        </w:rPr>
      </w:pPr>
      <w:r>
        <w:rPr>
          <w:rFonts w:hint="eastAsia" w:ascii="宋体" w:hAnsi="宋体"/>
          <w:b/>
          <w:color w:val="auto"/>
          <w:sz w:val="24"/>
          <w:highlight w:val="none"/>
        </w:rPr>
        <w:t>六、报名(采</w:t>
      </w:r>
      <w:r>
        <w:rPr>
          <w:rFonts w:hint="eastAsia" w:ascii="宋体" w:hAnsi="宋体" w:cs="宋体"/>
          <w:b/>
          <w:color w:val="auto"/>
          <w:sz w:val="24"/>
          <w:highlight w:val="none"/>
        </w:rPr>
        <w:t>购文件获取</w:t>
      </w:r>
      <w:r>
        <w:rPr>
          <w:rFonts w:hint="eastAsia" w:ascii="宋体" w:hAnsi="宋体"/>
          <w:b/>
          <w:color w:val="auto"/>
          <w:sz w:val="24"/>
          <w:highlight w:val="none"/>
        </w:rPr>
        <w:t>)时间：</w:t>
      </w:r>
    </w:p>
    <w:p>
      <w:pPr>
        <w:adjustRightInd w:val="0"/>
        <w:snapToGrid w:val="0"/>
        <w:spacing w:line="360" w:lineRule="auto"/>
        <w:ind w:firstLine="482" w:firstLineChars="200"/>
        <w:rPr>
          <w:rFonts w:ascii="宋体" w:hAnsi="宋体"/>
          <w:color w:val="auto"/>
          <w:sz w:val="24"/>
          <w:highlight w:val="none"/>
        </w:rPr>
      </w:pPr>
      <w:r>
        <w:rPr>
          <w:rFonts w:hint="eastAsia" w:ascii="宋体" w:hAnsi="宋体"/>
          <w:b/>
          <w:color w:val="auto"/>
          <w:sz w:val="24"/>
          <w:highlight w:val="none"/>
          <w:u w:val="thick"/>
        </w:rPr>
        <w:t>20</w:t>
      </w:r>
      <w:r>
        <w:rPr>
          <w:rFonts w:hint="eastAsia" w:ascii="宋体" w:hAnsi="宋体"/>
          <w:b/>
          <w:color w:val="auto"/>
          <w:sz w:val="24"/>
          <w:highlight w:val="none"/>
          <w:u w:val="thick"/>
          <w:lang w:val="en-US" w:eastAsia="zh-CN"/>
        </w:rPr>
        <w:t>19</w:t>
      </w:r>
      <w:r>
        <w:rPr>
          <w:rFonts w:hint="eastAsia" w:ascii="宋体" w:hAnsi="宋体"/>
          <w:b/>
          <w:color w:val="auto"/>
          <w:sz w:val="24"/>
          <w:highlight w:val="none"/>
          <w:u w:val="thick"/>
        </w:rPr>
        <w:t>年</w:t>
      </w:r>
      <w:r>
        <w:rPr>
          <w:rFonts w:hint="eastAsia" w:ascii="宋体" w:hAnsi="宋体"/>
          <w:b/>
          <w:color w:val="auto"/>
          <w:sz w:val="24"/>
          <w:highlight w:val="none"/>
          <w:u w:val="thick"/>
          <w:lang w:val="en-US" w:eastAsia="zh-CN"/>
        </w:rPr>
        <w:t>9</w:t>
      </w:r>
      <w:r>
        <w:rPr>
          <w:rFonts w:hint="eastAsia" w:ascii="宋体" w:hAnsi="宋体"/>
          <w:b/>
          <w:color w:val="auto"/>
          <w:sz w:val="24"/>
          <w:highlight w:val="none"/>
          <w:u w:val="thick"/>
        </w:rPr>
        <w:t>月</w:t>
      </w:r>
      <w:r>
        <w:rPr>
          <w:rFonts w:hint="eastAsia" w:ascii="宋体" w:hAnsi="宋体"/>
          <w:b/>
          <w:color w:val="auto"/>
          <w:sz w:val="24"/>
          <w:highlight w:val="none"/>
          <w:u w:val="thick"/>
          <w:lang w:val="en-US" w:eastAsia="zh-CN"/>
        </w:rPr>
        <w:t>16</w:t>
      </w:r>
      <w:r>
        <w:rPr>
          <w:rFonts w:hint="eastAsia" w:ascii="宋体" w:hAnsi="宋体"/>
          <w:b/>
          <w:color w:val="auto"/>
          <w:sz w:val="24"/>
          <w:highlight w:val="none"/>
          <w:u w:val="thick"/>
        </w:rPr>
        <w:t>日至20</w:t>
      </w:r>
      <w:r>
        <w:rPr>
          <w:rFonts w:hint="eastAsia" w:ascii="宋体" w:hAnsi="宋体"/>
          <w:b/>
          <w:color w:val="auto"/>
          <w:sz w:val="24"/>
          <w:highlight w:val="none"/>
          <w:u w:val="thick"/>
          <w:lang w:val="en-US" w:eastAsia="zh-CN"/>
        </w:rPr>
        <w:t>19</w:t>
      </w:r>
      <w:r>
        <w:rPr>
          <w:rFonts w:hint="eastAsia" w:ascii="宋体" w:hAnsi="宋体"/>
          <w:b/>
          <w:color w:val="auto"/>
          <w:sz w:val="24"/>
          <w:highlight w:val="none"/>
          <w:u w:val="thick"/>
        </w:rPr>
        <w:t>年</w:t>
      </w:r>
      <w:r>
        <w:rPr>
          <w:rFonts w:hint="eastAsia" w:ascii="宋体" w:hAnsi="宋体"/>
          <w:b/>
          <w:color w:val="auto"/>
          <w:sz w:val="24"/>
          <w:highlight w:val="none"/>
          <w:u w:val="thick"/>
          <w:lang w:val="en-US" w:eastAsia="zh-CN"/>
        </w:rPr>
        <w:t>9</w:t>
      </w:r>
      <w:r>
        <w:rPr>
          <w:rFonts w:hint="eastAsia" w:ascii="宋体" w:hAnsi="宋体"/>
          <w:b/>
          <w:color w:val="auto"/>
          <w:sz w:val="24"/>
          <w:highlight w:val="none"/>
          <w:u w:val="thick"/>
        </w:rPr>
        <w:t>月</w:t>
      </w:r>
      <w:r>
        <w:rPr>
          <w:rFonts w:hint="eastAsia" w:ascii="宋体" w:hAnsi="宋体"/>
          <w:b/>
          <w:color w:val="auto"/>
          <w:sz w:val="24"/>
          <w:highlight w:val="none"/>
          <w:u w:val="thick"/>
          <w:lang w:val="en-US" w:eastAsia="zh-CN"/>
        </w:rPr>
        <w:t>19</w:t>
      </w:r>
      <w:r>
        <w:rPr>
          <w:rFonts w:hint="eastAsia" w:ascii="宋体" w:hAnsi="宋体"/>
          <w:b/>
          <w:color w:val="auto"/>
          <w:sz w:val="24"/>
          <w:highlight w:val="none"/>
          <w:u w:val="thick"/>
        </w:rPr>
        <w:t>日</w:t>
      </w:r>
      <w:r>
        <w:rPr>
          <w:rFonts w:hint="eastAsia" w:ascii="宋体" w:hAnsi="宋体"/>
          <w:color w:val="auto"/>
          <w:sz w:val="24"/>
          <w:highlight w:val="none"/>
        </w:rPr>
        <w:t>（双休日及法定节假日除外）</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时间：上午：8：30-12：00，下午：13：30-1</w:t>
      </w:r>
      <w:r>
        <w:rPr>
          <w:rFonts w:hint="eastAsia" w:ascii="宋体" w:hAnsi="宋体"/>
          <w:color w:val="auto"/>
          <w:sz w:val="24"/>
          <w:highlight w:val="none"/>
          <w:lang w:val="en-US" w:eastAsia="zh-CN"/>
        </w:rPr>
        <w:t>7</w:t>
      </w:r>
      <w:r>
        <w:rPr>
          <w:rFonts w:hint="eastAsia" w:ascii="宋体" w:hAnsi="宋体"/>
          <w:color w:val="auto"/>
          <w:sz w:val="24"/>
          <w:highlight w:val="none"/>
        </w:rPr>
        <w:t>：</w:t>
      </w:r>
      <w:r>
        <w:rPr>
          <w:rFonts w:hint="eastAsia" w:ascii="宋体" w:hAnsi="宋体"/>
          <w:color w:val="auto"/>
          <w:sz w:val="24"/>
          <w:highlight w:val="none"/>
          <w:lang w:val="en-US" w:eastAsia="zh-CN"/>
        </w:rPr>
        <w:t>00</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s="宋体"/>
          <w:color w:val="auto"/>
          <w:sz w:val="24"/>
          <w:highlight w:val="none"/>
        </w:rPr>
        <w:t>获取</w:t>
      </w:r>
      <w:r>
        <w:rPr>
          <w:rFonts w:hint="eastAsia" w:ascii="宋体" w:hAnsi="宋体" w:cs="宋体"/>
          <w:color w:val="auto"/>
          <w:sz w:val="24"/>
          <w:highlight w:val="none"/>
          <w:lang w:eastAsia="zh-CN"/>
        </w:rPr>
        <w:t>采购</w:t>
      </w:r>
      <w:r>
        <w:rPr>
          <w:rFonts w:hint="eastAsia" w:ascii="宋体" w:hAnsi="宋体" w:cs="宋体"/>
          <w:color w:val="auto"/>
          <w:sz w:val="24"/>
          <w:highlight w:val="none"/>
        </w:rPr>
        <w:t>文件的时间期限截止之日之后有潜在供应商提出获取</w:t>
      </w:r>
      <w:r>
        <w:rPr>
          <w:rFonts w:hint="eastAsia" w:ascii="宋体" w:hAnsi="宋体" w:cs="宋体"/>
          <w:color w:val="auto"/>
          <w:sz w:val="24"/>
          <w:highlight w:val="none"/>
          <w:lang w:eastAsia="zh-CN"/>
        </w:rPr>
        <w:t>采购</w:t>
      </w:r>
      <w:r>
        <w:rPr>
          <w:rFonts w:hint="eastAsia" w:ascii="宋体" w:hAnsi="宋体" w:cs="宋体"/>
          <w:color w:val="auto"/>
          <w:sz w:val="24"/>
          <w:highlight w:val="none"/>
        </w:rPr>
        <w:t>文件的，采购机构将允许其获取，但该供应商如对</w:t>
      </w:r>
      <w:r>
        <w:rPr>
          <w:rFonts w:hint="eastAsia" w:ascii="宋体" w:hAnsi="宋体" w:cs="宋体"/>
          <w:color w:val="auto"/>
          <w:sz w:val="24"/>
          <w:highlight w:val="none"/>
          <w:lang w:eastAsia="zh-CN"/>
        </w:rPr>
        <w:t>采购</w:t>
      </w:r>
      <w:r>
        <w:rPr>
          <w:rFonts w:hint="eastAsia" w:ascii="宋体" w:hAnsi="宋体" w:cs="宋体"/>
          <w:color w:val="auto"/>
          <w:sz w:val="24"/>
          <w:highlight w:val="none"/>
        </w:rPr>
        <w:t>文件有异议的，应自采购文件</w:t>
      </w:r>
      <w:r>
        <w:rPr>
          <w:rFonts w:hint="eastAsia" w:ascii="宋体" w:hAnsi="宋体" w:cs="宋体"/>
          <w:color w:val="auto"/>
          <w:sz w:val="24"/>
          <w:highlight w:val="none"/>
          <w:lang w:eastAsia="zh-CN"/>
        </w:rPr>
        <w:t>获取</w:t>
      </w:r>
      <w:r>
        <w:rPr>
          <w:rFonts w:hint="eastAsia" w:ascii="宋体" w:hAnsi="宋体" w:cs="宋体"/>
          <w:color w:val="auto"/>
          <w:sz w:val="24"/>
          <w:highlight w:val="none"/>
        </w:rPr>
        <w:t>期限届满之日起七个工作日内且在投标截止时间之前以书面形式向采购机构提出。</w:t>
      </w:r>
    </w:p>
    <w:p>
      <w:pPr>
        <w:numPr>
          <w:ilvl w:val="0"/>
          <w:numId w:val="1"/>
        </w:numPr>
        <w:adjustRightInd w:val="0"/>
        <w:snapToGrid w:val="0"/>
        <w:spacing w:line="360" w:lineRule="auto"/>
        <w:rPr>
          <w:rFonts w:ascii="宋体" w:hAnsi="宋体" w:cs="宋体"/>
          <w:b/>
          <w:bCs/>
          <w:color w:val="auto"/>
          <w:sz w:val="24"/>
          <w:highlight w:val="none"/>
        </w:rPr>
      </w:pPr>
      <w:r>
        <w:rPr>
          <w:rFonts w:hint="eastAsia" w:ascii="宋体" w:hAnsi="宋体"/>
          <w:b/>
          <w:bCs/>
          <w:color w:val="auto"/>
          <w:sz w:val="24"/>
          <w:highlight w:val="none"/>
        </w:rPr>
        <w:t>报名形式：</w:t>
      </w:r>
    </w:p>
    <w:p>
      <w:pPr>
        <w:adjustRightInd w:val="0"/>
        <w:snapToGrid w:val="0"/>
        <w:spacing w:line="360" w:lineRule="auto"/>
        <w:ind w:left="482"/>
        <w:rPr>
          <w:rFonts w:ascii="宋体" w:hAnsi="宋体" w:cs="宋体"/>
          <w:b/>
          <w:bCs/>
          <w:color w:val="auto"/>
          <w:sz w:val="24"/>
          <w:highlight w:val="none"/>
        </w:rPr>
      </w:pPr>
      <w:r>
        <w:rPr>
          <w:rFonts w:hint="eastAsia" w:ascii="宋体" w:hAnsi="宋体" w:cs="宋体"/>
          <w:b/>
          <w:bCs/>
          <w:color w:val="auto"/>
          <w:sz w:val="24"/>
          <w:highlight w:val="none"/>
        </w:rPr>
        <w:t>网上报名或现场报名均可，推荐使用网上报名形式报名</w:t>
      </w:r>
    </w:p>
    <w:p>
      <w:pPr>
        <w:adjustRightInd w:val="0"/>
        <w:snapToGrid w:val="0"/>
        <w:spacing w:line="360" w:lineRule="auto"/>
        <w:ind w:left="480"/>
        <w:rPr>
          <w:rFonts w:ascii="宋体" w:hAnsi="宋体"/>
          <w:color w:val="auto"/>
          <w:sz w:val="24"/>
          <w:highlight w:val="none"/>
        </w:rPr>
      </w:pPr>
      <w:r>
        <w:rPr>
          <w:rFonts w:hint="eastAsia" w:ascii="宋体" w:hAnsi="宋体" w:cs="宋体"/>
          <w:color w:val="auto"/>
          <w:sz w:val="24"/>
          <w:highlight w:val="none"/>
        </w:rPr>
        <w:t>(一)</w:t>
      </w:r>
      <w:r>
        <w:rPr>
          <w:rFonts w:hint="eastAsia" w:ascii="宋体" w:hAnsi="宋体"/>
          <w:color w:val="auto"/>
          <w:sz w:val="24"/>
          <w:highlight w:val="none"/>
        </w:rPr>
        <w:t>网上报名：</w:t>
      </w:r>
    </w:p>
    <w:p>
      <w:pPr>
        <w:adjustRightInd w:val="0"/>
        <w:snapToGrid w:val="0"/>
        <w:spacing w:line="360" w:lineRule="auto"/>
        <w:ind w:left="480"/>
        <w:rPr>
          <w:rFonts w:ascii="宋体" w:hAnsi="宋体" w:cs="宋体"/>
          <w:color w:val="auto"/>
          <w:sz w:val="24"/>
          <w:highlight w:val="none"/>
        </w:rPr>
      </w:pPr>
      <w:r>
        <w:rPr>
          <w:rFonts w:hint="eastAsia" w:ascii="宋体" w:hAnsi="宋体" w:cs="宋体"/>
          <w:color w:val="auto"/>
          <w:sz w:val="24"/>
          <w:highlight w:val="none"/>
        </w:rPr>
        <w:t>已在浙江省政府采购网注册的正式供应商或临时供应商，可以登陆</w:t>
      </w:r>
      <w:r>
        <w:rPr>
          <w:rFonts w:ascii="宋体" w:hAnsi="宋体" w:cs="宋体"/>
          <w:color w:val="auto"/>
          <w:sz w:val="24"/>
          <w:highlight w:val="none"/>
        </w:rPr>
        <w:t>https://login.zcy.gov.cn/login</w:t>
      </w:r>
      <w:r>
        <w:rPr>
          <w:rFonts w:hint="eastAsia" w:ascii="宋体" w:hAnsi="宋体" w:cs="宋体"/>
          <w:color w:val="auto"/>
          <w:sz w:val="24"/>
          <w:highlight w:val="none"/>
        </w:rPr>
        <w:t>进行网上报名，并致电0571-86201955进行确认。</w:t>
      </w:r>
    </w:p>
    <w:p>
      <w:pPr>
        <w:adjustRightInd w:val="0"/>
        <w:snapToGrid w:val="0"/>
        <w:spacing w:line="360" w:lineRule="auto"/>
        <w:ind w:firstLine="360" w:firstLineChars="150"/>
        <w:rPr>
          <w:rFonts w:ascii="宋体" w:hAnsi="宋体" w:cs="宋体"/>
          <w:color w:val="auto"/>
          <w:sz w:val="24"/>
          <w:highlight w:val="none"/>
        </w:rPr>
      </w:pPr>
      <w:r>
        <w:rPr>
          <w:rFonts w:hint="eastAsia" w:ascii="宋体" w:hAnsi="宋体"/>
          <w:color w:val="auto"/>
          <w:sz w:val="24"/>
          <w:highlight w:val="none"/>
        </w:rPr>
        <w:t>（二）现场报名：</w:t>
      </w:r>
      <w:r>
        <w:rPr>
          <w:rFonts w:hint="eastAsia" w:ascii="宋体" w:hAnsi="宋体" w:cs="宋体"/>
          <w:color w:val="auto"/>
          <w:sz w:val="24"/>
          <w:highlight w:val="none"/>
        </w:rPr>
        <w:t xml:space="preserve"> </w:t>
      </w:r>
    </w:p>
    <w:p>
      <w:pPr>
        <w:adjustRightInd w:val="0"/>
        <w:snapToGrid w:val="0"/>
        <w:spacing w:line="360" w:lineRule="auto"/>
        <w:ind w:left="461" w:firstLine="120" w:firstLineChars="5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b/>
          <w:bCs/>
          <w:color w:val="auto"/>
          <w:sz w:val="24"/>
          <w:highlight w:val="none"/>
        </w:rPr>
        <w:t>现场报名所需资料：</w:t>
      </w:r>
    </w:p>
    <w:p>
      <w:pPr>
        <w:numPr>
          <w:ilvl w:val="0"/>
          <w:numId w:val="2"/>
        </w:numPr>
        <w:adjustRightInd w:val="0"/>
        <w:snapToGrid w:val="0"/>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营业执照（或事业单位法人登记证书或其他工商等登记证明材料）原件</w:t>
      </w:r>
      <w:r>
        <w:rPr>
          <w:rFonts w:hint="eastAsia" w:ascii="宋体" w:hAnsi="宋体" w:cs="宋体"/>
          <w:color w:val="auto"/>
          <w:sz w:val="24"/>
          <w:highlight w:val="none"/>
          <w:lang w:eastAsia="zh-CN"/>
        </w:rPr>
        <w:t>；</w:t>
      </w:r>
    </w:p>
    <w:p>
      <w:pPr>
        <w:numPr>
          <w:ilvl w:val="0"/>
          <w:numId w:val="2"/>
        </w:num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投标人代表的有效身份证件原件，如授权委托的，还须提供有效的授权委托书原件（格式参考“第五部分 投标文件格式）；</w:t>
      </w:r>
    </w:p>
    <w:p>
      <w:pPr>
        <w:numPr>
          <w:ilvl w:val="0"/>
          <w:numId w:val="2"/>
        </w:num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组织机构代码证、社保登记证（或供应商一年内缴纳过的社保缴纳花名册）、税务登记证原件。</w:t>
      </w:r>
    </w:p>
    <w:p>
      <w:pPr>
        <w:adjustRightInd w:val="0"/>
        <w:snapToGrid w:val="0"/>
        <w:spacing w:line="360" w:lineRule="auto"/>
        <w:ind w:left="480"/>
        <w:rPr>
          <w:rFonts w:ascii="宋体" w:hAnsi="宋体" w:cs="宋体"/>
          <w:color w:val="auto"/>
          <w:sz w:val="24"/>
          <w:highlight w:val="none"/>
        </w:rPr>
      </w:pPr>
      <w:r>
        <w:rPr>
          <w:rFonts w:hint="eastAsia" w:ascii="宋体" w:hAnsi="宋体" w:cs="宋体"/>
          <w:color w:val="auto"/>
          <w:sz w:val="24"/>
          <w:highlight w:val="none"/>
        </w:rPr>
        <w:t>注：持“五证合一”新版营业执照的投标人不要求提供组织机构代码证、社保登记证、</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税务登记证；持“三证合一”新版营业执照的投标人不要求提供组织机构代码证、税务登记证；个体工商户不要求提供组织机构代码证，持“两证整合” 新版营业执照的个体工商户不要求提供税务登记证。</w:t>
      </w:r>
    </w:p>
    <w:p>
      <w:pPr>
        <w:adjustRightInd w:val="0"/>
        <w:snapToGrid w:val="0"/>
        <w:spacing w:line="360" w:lineRule="auto"/>
        <w:ind w:left="461"/>
        <w:rPr>
          <w:rFonts w:ascii="宋体" w:hAnsi="宋体" w:cs="宋体"/>
          <w:color w:val="auto"/>
          <w:sz w:val="24"/>
          <w:highlight w:val="none"/>
        </w:rPr>
      </w:pPr>
      <w:r>
        <w:rPr>
          <w:rFonts w:hint="eastAsia" w:ascii="宋体" w:hAnsi="宋体" w:cs="宋体"/>
          <w:color w:val="auto"/>
          <w:sz w:val="24"/>
          <w:highlight w:val="none"/>
        </w:rPr>
        <w:t>2、现场报名地点：杭州市余杭区临平南大街265号市民之家三楼，杭州市公共资</w:t>
      </w:r>
    </w:p>
    <w:p>
      <w:pPr>
        <w:adjustRightInd w:val="0"/>
        <w:snapToGrid w:val="0"/>
        <w:spacing w:line="360" w:lineRule="auto"/>
        <w:rPr>
          <w:color w:val="auto"/>
          <w:highlight w:val="none"/>
        </w:rPr>
      </w:pPr>
      <w:r>
        <w:rPr>
          <w:rFonts w:hint="eastAsia" w:ascii="宋体" w:hAnsi="宋体" w:cs="宋体"/>
          <w:color w:val="auto"/>
          <w:sz w:val="24"/>
          <w:highlight w:val="none"/>
        </w:rPr>
        <w:t>源交易中心余杭分中心L5窗口。联系电话：0571-86201955</w:t>
      </w:r>
      <w:r>
        <w:rPr>
          <w:rFonts w:hint="eastAsia"/>
          <w:color w:val="auto"/>
          <w:highlight w:val="none"/>
        </w:rPr>
        <w:t>。</w:t>
      </w:r>
    </w:p>
    <w:p>
      <w:pPr>
        <w:adjustRightInd w:val="0"/>
        <w:snapToGri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注意：本项目成交供应商须在合同签订以前完成浙江省政府采购正式供应商注册入库工作</w:t>
      </w:r>
      <w:r>
        <w:rPr>
          <w:rFonts w:hint="eastAsia" w:ascii="宋体" w:hAnsi="宋体" w:cs="宋体"/>
          <w:b/>
          <w:color w:val="auto"/>
          <w:sz w:val="24"/>
          <w:highlight w:val="none"/>
        </w:rPr>
        <w:t>。</w:t>
      </w:r>
    </w:p>
    <w:p>
      <w:pPr>
        <w:adjustRightInd w:val="0"/>
        <w:snapToGrid w:val="0"/>
        <w:spacing w:line="360" w:lineRule="auto"/>
        <w:rPr>
          <w:rFonts w:ascii="宋体" w:hAnsi="宋体"/>
          <w:b/>
          <w:color w:val="auto"/>
          <w:sz w:val="24"/>
          <w:highlight w:val="none"/>
        </w:rPr>
      </w:pPr>
      <w:r>
        <w:rPr>
          <w:rFonts w:hint="eastAsia" w:ascii="宋体" w:hAnsi="宋体" w:cs="宋体"/>
          <w:b/>
          <w:bCs/>
          <w:color w:val="auto"/>
          <w:sz w:val="24"/>
          <w:highlight w:val="none"/>
        </w:rPr>
        <w:t>八、采购文件可通过以下网站免费下载，</w:t>
      </w:r>
      <w:r>
        <w:rPr>
          <w:rFonts w:hint="eastAsia" w:ascii="宋体" w:hAnsi="宋体"/>
          <w:b/>
          <w:color w:val="auto"/>
          <w:sz w:val="24"/>
          <w:highlight w:val="none"/>
        </w:rPr>
        <w:t>报名时不再发售纸质文件：</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浙江省政府采购网(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Fonts w:hint="eastAsia" w:ascii="宋体" w:hAnsi="宋体"/>
          <w:color w:val="auto"/>
          <w:sz w:val="24"/>
          <w:highlight w:val="none"/>
        </w:rPr>
        <w:t>http://www.zjzfcg.gov.cn</w:t>
      </w:r>
      <w:r>
        <w:rPr>
          <w:rFonts w:hint="eastAsia" w:ascii="宋体" w:hAnsi="宋体"/>
          <w:color w:val="auto"/>
          <w:sz w:val="24"/>
          <w:highlight w:val="none"/>
        </w:rPr>
        <w:fldChar w:fldCharType="end"/>
      </w:r>
      <w:r>
        <w:rPr>
          <w:rFonts w:hint="eastAsia" w:ascii="宋体" w:hAnsi="宋体"/>
          <w:color w:val="auto"/>
          <w:sz w:val="24"/>
          <w:highlight w:val="none"/>
        </w:rPr>
        <w:t>)</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杭州市余杭区公共资源交易网（</w:t>
      </w:r>
      <w:r>
        <w:rPr>
          <w:color w:val="auto"/>
          <w:highlight w:val="none"/>
        </w:rPr>
        <w:fldChar w:fldCharType="begin"/>
      </w:r>
      <w:r>
        <w:rPr>
          <w:color w:val="auto"/>
          <w:highlight w:val="none"/>
        </w:rPr>
        <w:instrText xml:space="preserve">HYPERLINK "http://www.yhggzy.com.cn"</w:instrText>
      </w:r>
      <w:r>
        <w:rPr>
          <w:color w:val="auto"/>
          <w:highlight w:val="none"/>
        </w:rPr>
        <w:fldChar w:fldCharType="separate"/>
      </w:r>
      <w:r>
        <w:rPr>
          <w:rFonts w:hint="eastAsia" w:ascii="宋体" w:hAnsi="宋体"/>
          <w:color w:val="auto"/>
          <w:sz w:val="24"/>
          <w:highlight w:val="none"/>
        </w:rPr>
        <w:t>http://www.yhggzy.com.cn</w:t>
      </w:r>
      <w:r>
        <w:rPr>
          <w:color w:val="auto"/>
          <w:highlight w:val="none"/>
        </w:rPr>
        <w:fldChar w:fldCharType="end"/>
      </w:r>
      <w:r>
        <w:rPr>
          <w:rFonts w:hint="eastAsia" w:ascii="宋体" w:hAnsi="宋体"/>
          <w:color w:val="auto"/>
          <w:sz w:val="24"/>
          <w:highlight w:val="none"/>
        </w:rPr>
        <w:t>）</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杭州余杭政府门户网站（</w:t>
      </w:r>
      <w:r>
        <w:rPr>
          <w:color w:val="auto"/>
          <w:highlight w:val="none"/>
        </w:rPr>
        <w:fldChar w:fldCharType="begin"/>
      </w:r>
      <w:r>
        <w:rPr>
          <w:color w:val="auto"/>
          <w:highlight w:val="none"/>
        </w:rPr>
        <w:instrText xml:space="preserve">HYPERLINK "http://www.yuhang.gov.cn"</w:instrText>
      </w:r>
      <w:r>
        <w:rPr>
          <w:color w:val="auto"/>
          <w:highlight w:val="none"/>
        </w:rPr>
        <w:fldChar w:fldCharType="separate"/>
      </w:r>
      <w:r>
        <w:rPr>
          <w:rFonts w:hint="eastAsia" w:ascii="宋体" w:hAnsi="宋体"/>
          <w:color w:val="auto"/>
          <w:sz w:val="24"/>
          <w:highlight w:val="none"/>
        </w:rPr>
        <w:t>http://www.yuhang.gov.cn</w:t>
      </w:r>
      <w:r>
        <w:rPr>
          <w:color w:val="auto"/>
          <w:highlight w:val="none"/>
        </w:rPr>
        <w:fldChar w:fldCharType="end"/>
      </w:r>
      <w:r>
        <w:rPr>
          <w:rFonts w:hint="eastAsia" w:ascii="宋体" w:hAnsi="宋体"/>
          <w:color w:val="auto"/>
          <w:sz w:val="24"/>
          <w:highlight w:val="none"/>
        </w:rPr>
        <w:t>）</w:t>
      </w:r>
    </w:p>
    <w:p>
      <w:pPr>
        <w:adjustRightInd w:val="0"/>
        <w:snapToGrid w:val="0"/>
        <w:spacing w:line="400" w:lineRule="atLeast"/>
        <w:rPr>
          <w:b/>
          <w:bCs/>
          <w:color w:val="auto"/>
          <w:sz w:val="24"/>
          <w:highlight w:val="none"/>
        </w:rPr>
      </w:pPr>
      <w:r>
        <w:rPr>
          <w:rFonts w:hint="eastAsia"/>
          <w:b/>
          <w:bCs/>
          <w:color w:val="auto"/>
          <w:sz w:val="24"/>
          <w:highlight w:val="none"/>
        </w:rPr>
        <w:t>九</w:t>
      </w:r>
      <w:r>
        <w:rPr>
          <w:b/>
          <w:bCs/>
          <w:color w:val="auto"/>
          <w:sz w:val="24"/>
          <w:highlight w:val="none"/>
        </w:rPr>
        <w:t>、保证金</w:t>
      </w:r>
    </w:p>
    <w:p>
      <w:pPr>
        <w:adjustRightInd w:val="0"/>
        <w:snapToGrid w:val="0"/>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本项目不收取投标保证金。</w:t>
      </w:r>
    </w:p>
    <w:p>
      <w:pPr>
        <w:adjustRightInd w:val="0"/>
        <w:snapToGrid w:val="0"/>
        <w:spacing w:line="360" w:lineRule="auto"/>
        <w:rPr>
          <w:rFonts w:ascii="宋体" w:hAnsi="宋体"/>
          <w:color w:val="auto"/>
          <w:sz w:val="24"/>
          <w:highlight w:val="none"/>
        </w:rPr>
      </w:pPr>
      <w:r>
        <w:rPr>
          <w:rFonts w:hint="eastAsia" w:ascii="宋体" w:hAnsi="宋体"/>
          <w:b/>
          <w:bCs/>
          <w:color w:val="auto"/>
          <w:sz w:val="24"/>
          <w:highlight w:val="none"/>
        </w:rPr>
        <w:t>十</w:t>
      </w:r>
      <w:r>
        <w:rPr>
          <w:rFonts w:hint="eastAsia" w:ascii="宋体" w:hAnsi="宋体"/>
          <w:b/>
          <w:bCs/>
          <w:color w:val="auto"/>
          <w:sz w:val="24"/>
          <w:szCs w:val="24"/>
          <w:highlight w:val="none"/>
        </w:rPr>
        <w:t>、提交响应文件截止</w:t>
      </w:r>
      <w:r>
        <w:rPr>
          <w:rFonts w:hint="eastAsia" w:ascii="宋体" w:hAnsi="宋体"/>
          <w:b/>
          <w:color w:val="auto"/>
          <w:sz w:val="24"/>
          <w:szCs w:val="24"/>
          <w:highlight w:val="none"/>
        </w:rPr>
        <w:t>时间与地点</w:t>
      </w:r>
      <w:r>
        <w:rPr>
          <w:rFonts w:hint="eastAsia" w:ascii="宋体" w:hAnsi="宋体"/>
          <w:color w:val="auto"/>
          <w:sz w:val="24"/>
          <w:highlight w:val="none"/>
        </w:rPr>
        <w:t>（逾期送达或未密封将予以拒收）：</w:t>
      </w:r>
    </w:p>
    <w:p>
      <w:pPr>
        <w:adjustRightInd w:val="0"/>
        <w:snapToGrid w:val="0"/>
        <w:spacing w:line="360" w:lineRule="auto"/>
        <w:ind w:firstLine="482" w:firstLineChars="200"/>
        <w:rPr>
          <w:rFonts w:ascii="宋体" w:hAnsi="宋体"/>
          <w:b/>
          <w:color w:val="auto"/>
          <w:sz w:val="24"/>
          <w:highlight w:val="none"/>
          <w:u w:val="thick"/>
        </w:rPr>
      </w:pPr>
      <w:r>
        <w:rPr>
          <w:rFonts w:hint="eastAsia" w:ascii="宋体" w:hAnsi="宋体"/>
          <w:b/>
          <w:color w:val="auto"/>
          <w:sz w:val="24"/>
          <w:highlight w:val="none"/>
          <w:u w:val="thick"/>
        </w:rPr>
        <w:t>20</w:t>
      </w:r>
      <w:r>
        <w:rPr>
          <w:rFonts w:hint="eastAsia" w:ascii="宋体" w:hAnsi="宋体"/>
          <w:b/>
          <w:color w:val="auto"/>
          <w:sz w:val="24"/>
          <w:highlight w:val="none"/>
          <w:u w:val="thick"/>
          <w:lang w:val="en-US" w:eastAsia="zh-CN"/>
        </w:rPr>
        <w:t>19</w:t>
      </w:r>
      <w:r>
        <w:rPr>
          <w:rFonts w:hint="eastAsia" w:ascii="宋体" w:hAnsi="宋体"/>
          <w:b/>
          <w:color w:val="auto"/>
          <w:sz w:val="24"/>
          <w:highlight w:val="none"/>
          <w:u w:val="thick"/>
        </w:rPr>
        <w:t>年</w:t>
      </w:r>
      <w:r>
        <w:rPr>
          <w:rFonts w:hint="eastAsia" w:ascii="宋体" w:hAnsi="宋体"/>
          <w:b/>
          <w:color w:val="auto"/>
          <w:sz w:val="24"/>
          <w:highlight w:val="none"/>
          <w:u w:val="thick"/>
          <w:lang w:val="en-US" w:eastAsia="zh-CN"/>
        </w:rPr>
        <w:t>9</w:t>
      </w:r>
      <w:r>
        <w:rPr>
          <w:rFonts w:hint="eastAsia" w:ascii="宋体" w:hAnsi="宋体"/>
          <w:b/>
          <w:color w:val="auto"/>
          <w:sz w:val="24"/>
          <w:highlight w:val="none"/>
          <w:u w:val="thick"/>
        </w:rPr>
        <w:t>月</w:t>
      </w:r>
      <w:r>
        <w:rPr>
          <w:rFonts w:hint="eastAsia" w:ascii="宋体" w:hAnsi="宋体"/>
          <w:b/>
          <w:color w:val="auto"/>
          <w:sz w:val="24"/>
          <w:highlight w:val="none"/>
          <w:u w:val="thick"/>
          <w:lang w:val="en-US" w:eastAsia="zh-CN"/>
        </w:rPr>
        <w:t>20</w:t>
      </w:r>
      <w:r>
        <w:rPr>
          <w:rFonts w:hint="eastAsia" w:ascii="宋体" w:hAnsi="宋体"/>
          <w:b/>
          <w:color w:val="auto"/>
          <w:sz w:val="24"/>
          <w:highlight w:val="none"/>
          <w:u w:val="thick"/>
        </w:rPr>
        <w:t xml:space="preserve">日 </w:t>
      </w:r>
      <w:r>
        <w:rPr>
          <w:rFonts w:hint="eastAsia" w:ascii="宋体" w:hAnsi="宋体"/>
          <w:b/>
          <w:color w:val="auto"/>
          <w:sz w:val="24"/>
          <w:highlight w:val="none"/>
          <w:u w:val="thick"/>
          <w:lang w:val="en-US" w:eastAsia="zh-CN"/>
        </w:rPr>
        <w:t>14</w:t>
      </w:r>
      <w:r>
        <w:rPr>
          <w:rFonts w:hint="eastAsia" w:ascii="宋体" w:hAnsi="宋体"/>
          <w:b/>
          <w:color w:val="auto"/>
          <w:sz w:val="24"/>
          <w:highlight w:val="none"/>
          <w:u w:val="thick"/>
        </w:rPr>
        <w:t>：</w:t>
      </w:r>
      <w:r>
        <w:rPr>
          <w:rFonts w:hint="eastAsia" w:ascii="宋体" w:hAnsi="宋体"/>
          <w:b/>
          <w:color w:val="auto"/>
          <w:sz w:val="24"/>
          <w:highlight w:val="none"/>
          <w:u w:val="thick"/>
          <w:lang w:val="en-US" w:eastAsia="zh-CN"/>
        </w:rPr>
        <w:t>0</w:t>
      </w:r>
      <w:r>
        <w:rPr>
          <w:rFonts w:hint="eastAsia" w:ascii="宋体" w:hAnsi="宋体"/>
          <w:b/>
          <w:color w:val="auto"/>
          <w:sz w:val="24"/>
          <w:highlight w:val="none"/>
          <w:u w:val="thick"/>
        </w:rPr>
        <w:t>0整</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杭州市公共资源交易中心余杭分中心</w:t>
      </w:r>
      <w:r>
        <w:rPr>
          <w:rFonts w:hint="eastAsia" w:ascii="宋体" w:hAnsi="宋体"/>
          <w:color w:val="auto"/>
          <w:sz w:val="24"/>
          <w:highlight w:val="none"/>
          <w:lang w:val="en-US" w:eastAsia="zh-CN"/>
        </w:rPr>
        <w:t>2</w:t>
      </w:r>
      <w:r>
        <w:rPr>
          <w:rFonts w:hint="eastAsia" w:ascii="宋体" w:hAnsi="宋体"/>
          <w:color w:val="auto"/>
          <w:sz w:val="24"/>
          <w:highlight w:val="none"/>
        </w:rPr>
        <w:t>号开标室</w:t>
      </w:r>
    </w:p>
    <w:p>
      <w:pPr>
        <w:adjustRightInd w:val="0"/>
        <w:snapToGrid w:val="0"/>
        <w:spacing w:line="360" w:lineRule="auto"/>
        <w:rPr>
          <w:rFonts w:ascii="宋体" w:hAnsi="宋体"/>
          <w:color w:val="auto"/>
          <w:sz w:val="24"/>
          <w:highlight w:val="none"/>
        </w:rPr>
      </w:pPr>
      <w:r>
        <w:rPr>
          <w:rFonts w:hint="eastAsia" w:ascii="宋体" w:hAnsi="宋体"/>
          <w:b/>
          <w:bCs/>
          <w:color w:val="auto"/>
          <w:sz w:val="24"/>
          <w:highlight w:val="none"/>
        </w:rPr>
        <w:t>十一</w:t>
      </w:r>
      <w:r>
        <w:rPr>
          <w:rFonts w:hint="eastAsia" w:ascii="宋体" w:hAnsi="宋体"/>
          <w:b/>
          <w:bCs/>
          <w:color w:val="auto"/>
          <w:sz w:val="24"/>
          <w:szCs w:val="24"/>
          <w:highlight w:val="none"/>
        </w:rPr>
        <w:t>、</w:t>
      </w:r>
      <w:r>
        <w:rPr>
          <w:rFonts w:hint="eastAsia" w:ascii="宋体" w:hAnsi="宋体"/>
          <w:b/>
          <w:color w:val="auto"/>
          <w:sz w:val="24"/>
          <w:szCs w:val="24"/>
          <w:highlight w:val="none"/>
        </w:rPr>
        <w:t>开标时间与地点</w:t>
      </w:r>
      <w:r>
        <w:rPr>
          <w:rFonts w:hint="eastAsia" w:ascii="宋体" w:hAnsi="宋体"/>
          <w:color w:val="auto"/>
          <w:sz w:val="24"/>
          <w:highlight w:val="none"/>
        </w:rPr>
        <w:t>（授权代表携带本人有效身份证件出席开标会议）：</w:t>
      </w:r>
    </w:p>
    <w:p>
      <w:pPr>
        <w:adjustRightInd w:val="0"/>
        <w:snapToGrid w:val="0"/>
        <w:spacing w:line="360" w:lineRule="auto"/>
        <w:ind w:firstLine="482" w:firstLineChars="200"/>
        <w:rPr>
          <w:rFonts w:ascii="宋体" w:hAnsi="宋体"/>
          <w:b/>
          <w:color w:val="auto"/>
          <w:sz w:val="24"/>
          <w:highlight w:val="none"/>
          <w:u w:val="thick"/>
        </w:rPr>
      </w:pPr>
      <w:r>
        <w:rPr>
          <w:rFonts w:hint="eastAsia" w:ascii="宋体" w:hAnsi="宋体"/>
          <w:b/>
          <w:color w:val="auto"/>
          <w:sz w:val="24"/>
          <w:highlight w:val="none"/>
          <w:u w:val="thick"/>
        </w:rPr>
        <w:t>20</w:t>
      </w:r>
      <w:r>
        <w:rPr>
          <w:rFonts w:hint="eastAsia" w:ascii="宋体" w:hAnsi="宋体"/>
          <w:b/>
          <w:color w:val="auto"/>
          <w:sz w:val="24"/>
          <w:highlight w:val="none"/>
          <w:u w:val="thick"/>
          <w:lang w:val="en-US" w:eastAsia="zh-CN"/>
        </w:rPr>
        <w:t>19</w:t>
      </w:r>
      <w:r>
        <w:rPr>
          <w:rFonts w:hint="eastAsia" w:ascii="宋体" w:hAnsi="宋体"/>
          <w:b/>
          <w:color w:val="auto"/>
          <w:sz w:val="24"/>
          <w:highlight w:val="none"/>
          <w:u w:val="thick"/>
        </w:rPr>
        <w:t>年</w:t>
      </w:r>
      <w:r>
        <w:rPr>
          <w:rFonts w:hint="eastAsia" w:ascii="宋体" w:hAnsi="宋体"/>
          <w:b/>
          <w:color w:val="auto"/>
          <w:sz w:val="24"/>
          <w:highlight w:val="none"/>
          <w:u w:val="thick"/>
          <w:lang w:val="en-US" w:eastAsia="zh-CN"/>
        </w:rPr>
        <w:t>9</w:t>
      </w:r>
      <w:r>
        <w:rPr>
          <w:rFonts w:hint="eastAsia" w:ascii="宋体" w:hAnsi="宋体"/>
          <w:b/>
          <w:color w:val="auto"/>
          <w:sz w:val="24"/>
          <w:highlight w:val="none"/>
          <w:u w:val="thick"/>
        </w:rPr>
        <w:t>月</w:t>
      </w:r>
      <w:r>
        <w:rPr>
          <w:rFonts w:hint="eastAsia" w:ascii="宋体" w:hAnsi="宋体"/>
          <w:b/>
          <w:color w:val="auto"/>
          <w:sz w:val="24"/>
          <w:highlight w:val="none"/>
          <w:u w:val="thick"/>
          <w:lang w:val="en-US" w:eastAsia="zh-CN"/>
        </w:rPr>
        <w:t>20</w:t>
      </w:r>
      <w:r>
        <w:rPr>
          <w:rFonts w:hint="eastAsia" w:ascii="宋体" w:hAnsi="宋体"/>
          <w:b/>
          <w:color w:val="auto"/>
          <w:sz w:val="24"/>
          <w:highlight w:val="none"/>
          <w:u w:val="thick"/>
        </w:rPr>
        <w:t xml:space="preserve">日 </w:t>
      </w:r>
      <w:r>
        <w:rPr>
          <w:rFonts w:hint="eastAsia" w:ascii="宋体" w:hAnsi="宋体"/>
          <w:b/>
          <w:color w:val="auto"/>
          <w:sz w:val="24"/>
          <w:highlight w:val="none"/>
          <w:u w:val="thick"/>
          <w:lang w:val="en-US" w:eastAsia="zh-CN"/>
        </w:rPr>
        <w:t>14</w:t>
      </w:r>
      <w:r>
        <w:rPr>
          <w:rFonts w:hint="eastAsia" w:ascii="宋体" w:hAnsi="宋体"/>
          <w:b/>
          <w:color w:val="auto"/>
          <w:sz w:val="24"/>
          <w:highlight w:val="none"/>
          <w:u w:val="thick"/>
        </w:rPr>
        <w:t>：</w:t>
      </w:r>
      <w:r>
        <w:rPr>
          <w:rFonts w:hint="eastAsia" w:ascii="宋体" w:hAnsi="宋体"/>
          <w:b/>
          <w:color w:val="auto"/>
          <w:sz w:val="24"/>
          <w:highlight w:val="none"/>
          <w:u w:val="thick"/>
          <w:lang w:val="en-US" w:eastAsia="zh-CN"/>
        </w:rPr>
        <w:t>0</w:t>
      </w:r>
      <w:r>
        <w:rPr>
          <w:rFonts w:hint="eastAsia" w:ascii="宋体" w:hAnsi="宋体"/>
          <w:b/>
          <w:color w:val="auto"/>
          <w:sz w:val="24"/>
          <w:highlight w:val="none"/>
          <w:u w:val="thick"/>
        </w:rPr>
        <w:t>0整</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杭州市公共资源交易中心余杭分中心</w:t>
      </w:r>
      <w:r>
        <w:rPr>
          <w:rFonts w:hint="eastAsia" w:ascii="宋体" w:hAnsi="宋体"/>
          <w:color w:val="auto"/>
          <w:sz w:val="24"/>
          <w:highlight w:val="none"/>
          <w:lang w:val="en-US" w:eastAsia="zh-CN"/>
        </w:rPr>
        <w:t>2</w:t>
      </w:r>
      <w:r>
        <w:rPr>
          <w:rFonts w:hint="eastAsia" w:ascii="宋体" w:hAnsi="宋体"/>
          <w:color w:val="auto"/>
          <w:sz w:val="24"/>
          <w:highlight w:val="none"/>
        </w:rPr>
        <w:t>号开标室</w:t>
      </w:r>
    </w:p>
    <w:p>
      <w:pPr>
        <w:snapToGrid w:val="0"/>
        <w:spacing w:line="360" w:lineRule="auto"/>
        <w:rPr>
          <w:rFonts w:ascii="宋体" w:hAnsi="宋体" w:cs="Arial"/>
          <w:b/>
          <w:color w:val="auto"/>
          <w:sz w:val="24"/>
          <w:szCs w:val="24"/>
          <w:highlight w:val="none"/>
        </w:rPr>
      </w:pPr>
      <w:r>
        <w:rPr>
          <w:rFonts w:hint="eastAsia" w:ascii="宋体" w:hAnsi="宋体" w:cs="Arial"/>
          <w:b/>
          <w:color w:val="auto"/>
          <w:sz w:val="24"/>
          <w:szCs w:val="24"/>
          <w:highlight w:val="none"/>
        </w:rPr>
        <w:t>十二、质疑和投诉：</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供应商认为采购文件、采购过程、中标结果使自己的权益受到损害的，可以在知道或者应知其权益受到损害之日起7个工作日内，以书面形式向采购人、采购代理机构提出质疑，针对同一采购程序环节的质疑应一次性提出。</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2、接收质疑函的方式：直接递交、传真或邮寄方式；质疑受理地点：杭州市公共资源交易中心余杭分中心L5窗口（杭州市余杭区临平南大街265号市民之家三楼），联系电话：0571-86201955。</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3、供应商对采购代理机构的质疑答复不满意或者采购代理机构未在规定时间内作出答复的，可以在答复期满后十五个工作日内向同级政府采购监督管理部门余杭区财政局投诉，联系电话为0571-89180113。</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4、质疑函、投诉书范本下载地址：http://www.yhggzy.com.cn/web_news/WebNewsView.aspx?ViewID=326&amp;ID=4991</w:t>
      </w:r>
    </w:p>
    <w:p>
      <w:pPr>
        <w:adjustRightInd w:val="0"/>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十三、联系方式：</w:t>
      </w:r>
    </w:p>
    <w:p>
      <w:pPr>
        <w:pStyle w:val="43"/>
        <w:rPr>
          <w:rFonts w:ascii="宋体" w:hAnsi="宋体" w:cs="宋体"/>
          <w:color w:val="auto"/>
          <w:highlight w:val="none"/>
        </w:rPr>
      </w:pPr>
      <w:r>
        <w:rPr>
          <w:rFonts w:hint="eastAsia" w:ascii="宋体" w:hAnsi="宋体" w:cs="宋体"/>
          <w:color w:val="auto"/>
          <w:highlight w:val="none"/>
        </w:rPr>
        <w:t>窗体顶端</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采购人名称：杭州市余杭区行政服务中心    </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地址：杭州市余杭区临平南大街265号市民之家八楼</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项目联系人姓名：</w:t>
      </w:r>
      <w:r>
        <w:rPr>
          <w:rFonts w:hint="eastAsia" w:ascii="宋体" w:hAnsi="宋体"/>
          <w:color w:val="auto"/>
          <w:kern w:val="0"/>
          <w:sz w:val="24"/>
          <w:highlight w:val="none"/>
          <w:lang w:eastAsia="zh-CN"/>
        </w:rPr>
        <w:t>郑健</w:t>
      </w:r>
      <w:r>
        <w:rPr>
          <w:rFonts w:hint="eastAsia" w:ascii="宋体" w:hAnsi="宋体" w:cs="宋体"/>
          <w:color w:val="auto"/>
          <w:sz w:val="24"/>
          <w:highlight w:val="none"/>
        </w:rPr>
        <w:t xml:space="preserve">，电话：0571-89360792，传真：0571-89163940 </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2、采购代理机构</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采购代理机构名称：杭州市公共资源交易中心余杭分中心         </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地址：杭州市余杭区临平南大街265号市民之家三楼           </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项目联系人姓名：</w:t>
      </w:r>
      <w:r>
        <w:rPr>
          <w:rFonts w:hint="eastAsia" w:ascii="宋体" w:hAnsi="宋体" w:cs="宋体"/>
          <w:color w:val="auto"/>
          <w:sz w:val="24"/>
          <w:highlight w:val="none"/>
          <w:lang w:eastAsia="zh-CN"/>
        </w:rPr>
        <w:t>俞国乾</w:t>
      </w:r>
      <w:r>
        <w:rPr>
          <w:rFonts w:hint="eastAsia" w:ascii="宋体" w:hAnsi="宋体" w:cs="宋体"/>
          <w:color w:val="auto"/>
          <w:sz w:val="24"/>
          <w:highlight w:val="none"/>
        </w:rPr>
        <w:t>，电话：0571-</w:t>
      </w:r>
      <w:r>
        <w:rPr>
          <w:rFonts w:hint="eastAsia" w:ascii="宋体" w:hAnsi="宋体" w:cs="宋体"/>
          <w:color w:val="auto"/>
          <w:sz w:val="24"/>
          <w:highlight w:val="none"/>
          <w:lang w:val="en-US" w:eastAsia="zh-CN"/>
        </w:rPr>
        <w:t>89262300</w:t>
      </w:r>
      <w:r>
        <w:rPr>
          <w:rFonts w:hint="eastAsia" w:ascii="宋体" w:hAnsi="宋体" w:cs="宋体"/>
          <w:color w:val="auto"/>
          <w:sz w:val="24"/>
          <w:highlight w:val="none"/>
        </w:rPr>
        <w:t>，传真：0571-</w:t>
      </w:r>
      <w:r>
        <w:rPr>
          <w:rFonts w:hint="eastAsia" w:ascii="宋体" w:hAnsi="宋体" w:cs="宋体"/>
          <w:color w:val="auto"/>
          <w:sz w:val="24"/>
          <w:highlight w:val="none"/>
          <w:lang w:val="en-US" w:eastAsia="zh-CN"/>
        </w:rPr>
        <w:t>89360706</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报名、供应商注册、成交通知书发放咨询电话：0571-86201955</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3、同级政府采购监督管理部门</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同级政府采购监督管理部门：杭州市余杭区财政局</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地址：杭州市余杭区临平东湖中路236号余杭财税大楼</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联系人：杜国强，联系电话：0571-89180113，传真：0571-89180113</w:t>
      </w:r>
    </w:p>
    <w:p>
      <w:pPr>
        <w:pStyle w:val="40"/>
        <w:rPr>
          <w:rFonts w:ascii="宋体" w:hAnsi="宋体" w:eastAsia="宋体"/>
          <w:color w:val="auto"/>
          <w:highlight w:val="none"/>
        </w:rPr>
      </w:pPr>
      <w:r>
        <w:rPr>
          <w:rFonts w:hint="eastAsia" w:ascii="宋体" w:hAnsi="宋体" w:eastAsia="宋体"/>
          <w:color w:val="auto"/>
          <w:highlight w:val="none"/>
        </w:rPr>
        <w:br w:type="page"/>
      </w:r>
      <w:bookmarkStart w:id="3" w:name="_Toc20057"/>
      <w:r>
        <w:rPr>
          <w:rFonts w:hint="eastAsia" w:ascii="宋体" w:hAnsi="宋体" w:eastAsia="宋体"/>
          <w:color w:val="auto"/>
          <w:highlight w:val="none"/>
        </w:rPr>
        <w:t>第二部分 供应商须知</w:t>
      </w:r>
      <w:bookmarkEnd w:id="3"/>
    </w:p>
    <w:p>
      <w:pPr>
        <w:widowControl/>
        <w:snapToGrid w:val="0"/>
        <w:spacing w:line="440" w:lineRule="exact"/>
        <w:jc w:val="center"/>
        <w:rPr>
          <w:rFonts w:ascii="宋体" w:hAnsi="宋体"/>
          <w:b/>
          <w:color w:val="auto"/>
          <w:kern w:val="0"/>
          <w:sz w:val="44"/>
          <w:szCs w:val="44"/>
          <w:highlight w:val="none"/>
        </w:rPr>
      </w:pPr>
      <w:r>
        <w:rPr>
          <w:rFonts w:hint="eastAsia" w:ascii="宋体" w:hAnsi="宋体"/>
          <w:b/>
          <w:color w:val="auto"/>
          <w:kern w:val="0"/>
          <w:sz w:val="44"/>
          <w:szCs w:val="44"/>
          <w:highlight w:val="none"/>
        </w:rPr>
        <w:t>前附表</w:t>
      </w:r>
    </w:p>
    <w:tbl>
      <w:tblPr>
        <w:tblStyle w:val="31"/>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54"/>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22" w:type="dxa"/>
            <w:tcBorders>
              <w:left w:val="single" w:color="auto" w:sz="12" w:space="0"/>
            </w:tcBorders>
            <w:vAlign w:val="center"/>
          </w:tcPr>
          <w:p>
            <w:pPr>
              <w:spacing w:line="440" w:lineRule="exact"/>
              <w:jc w:val="center"/>
              <w:rPr>
                <w:rFonts w:ascii="宋体" w:hAnsi="宋体"/>
                <w:b/>
                <w:color w:val="auto"/>
                <w:kern w:val="0"/>
                <w:sz w:val="24"/>
                <w:highlight w:val="none"/>
              </w:rPr>
            </w:pPr>
            <w:r>
              <w:rPr>
                <w:rFonts w:hint="eastAsia" w:ascii="宋体" w:hAnsi="宋体"/>
                <w:b/>
                <w:color w:val="auto"/>
                <w:kern w:val="0"/>
                <w:sz w:val="24"/>
                <w:highlight w:val="none"/>
              </w:rPr>
              <w:t>序号</w:t>
            </w:r>
          </w:p>
        </w:tc>
        <w:tc>
          <w:tcPr>
            <w:tcW w:w="1754" w:type="dxa"/>
            <w:vAlign w:val="center"/>
          </w:tcPr>
          <w:p>
            <w:pPr>
              <w:spacing w:line="440" w:lineRule="exact"/>
              <w:jc w:val="center"/>
              <w:rPr>
                <w:rFonts w:ascii="宋体" w:hAnsi="宋体"/>
                <w:b/>
                <w:color w:val="auto"/>
                <w:kern w:val="0"/>
                <w:sz w:val="24"/>
                <w:highlight w:val="none"/>
              </w:rPr>
            </w:pPr>
            <w:r>
              <w:rPr>
                <w:rFonts w:hint="eastAsia" w:ascii="宋体" w:hAnsi="宋体"/>
                <w:b/>
                <w:color w:val="auto"/>
                <w:kern w:val="0"/>
                <w:sz w:val="24"/>
                <w:highlight w:val="none"/>
              </w:rPr>
              <w:t>名   目</w:t>
            </w:r>
          </w:p>
        </w:tc>
        <w:tc>
          <w:tcPr>
            <w:tcW w:w="6962" w:type="dxa"/>
            <w:tcBorders>
              <w:right w:val="single" w:color="auto" w:sz="12" w:space="0"/>
            </w:tcBorders>
            <w:vAlign w:val="center"/>
          </w:tcPr>
          <w:p>
            <w:pPr>
              <w:spacing w:line="440" w:lineRule="exact"/>
              <w:jc w:val="center"/>
              <w:rPr>
                <w:rFonts w:ascii="宋体" w:hAnsi="宋体"/>
                <w:color w:val="auto"/>
                <w:kern w:val="0"/>
                <w:sz w:val="24"/>
                <w:highlight w:val="none"/>
              </w:rPr>
            </w:pPr>
            <w:r>
              <w:rPr>
                <w:rFonts w:hint="eastAsia" w:ascii="宋体" w:hAnsi="宋体"/>
                <w:color w:val="auto"/>
                <w:kern w:val="0"/>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22" w:type="dxa"/>
            <w:tcBorders>
              <w:left w:val="single" w:color="auto" w:sz="12" w:space="0"/>
            </w:tcBorders>
            <w:vAlign w:val="center"/>
          </w:tcPr>
          <w:p>
            <w:pPr>
              <w:spacing w:line="440" w:lineRule="exact"/>
              <w:ind w:firstLine="241" w:firstLineChars="100"/>
              <w:rPr>
                <w:rFonts w:ascii="宋体" w:hAnsi="宋体"/>
                <w:b/>
                <w:color w:val="auto"/>
                <w:kern w:val="0"/>
                <w:sz w:val="24"/>
                <w:highlight w:val="none"/>
              </w:rPr>
            </w:pPr>
            <w:r>
              <w:rPr>
                <w:rFonts w:hint="eastAsia" w:ascii="宋体" w:hAnsi="宋体"/>
                <w:b/>
                <w:color w:val="auto"/>
                <w:kern w:val="0"/>
                <w:sz w:val="24"/>
                <w:highlight w:val="none"/>
              </w:rPr>
              <w:t>1</w:t>
            </w:r>
          </w:p>
        </w:tc>
        <w:tc>
          <w:tcPr>
            <w:tcW w:w="1754" w:type="dxa"/>
            <w:vAlign w:val="center"/>
          </w:tcPr>
          <w:p>
            <w:pPr>
              <w:spacing w:line="440" w:lineRule="exact"/>
              <w:jc w:val="center"/>
              <w:rPr>
                <w:rFonts w:ascii="宋体" w:hAnsi="宋体"/>
                <w:b/>
                <w:color w:val="auto"/>
                <w:kern w:val="0"/>
                <w:sz w:val="24"/>
                <w:highlight w:val="none"/>
              </w:rPr>
            </w:pPr>
            <w:r>
              <w:rPr>
                <w:rFonts w:hint="eastAsia" w:ascii="宋体" w:hAnsi="宋体"/>
                <w:b/>
                <w:color w:val="auto"/>
                <w:kern w:val="0"/>
                <w:sz w:val="24"/>
                <w:highlight w:val="none"/>
              </w:rPr>
              <w:t>项目名称</w:t>
            </w:r>
          </w:p>
        </w:tc>
        <w:tc>
          <w:tcPr>
            <w:tcW w:w="6962" w:type="dxa"/>
            <w:tcBorders>
              <w:right w:val="single" w:color="auto" w:sz="12" w:space="0"/>
            </w:tcBorders>
            <w:vAlign w:val="center"/>
          </w:tcPr>
          <w:p>
            <w:pPr>
              <w:spacing w:line="440" w:lineRule="exact"/>
              <w:rPr>
                <w:rFonts w:hint="eastAsia" w:ascii="宋体" w:hAnsi="宋体" w:eastAsia="宋体"/>
                <w:color w:val="auto"/>
                <w:kern w:val="0"/>
                <w:sz w:val="24"/>
                <w:highlight w:val="none"/>
                <w:lang w:eastAsia="zh-CN"/>
              </w:rPr>
            </w:pPr>
            <w:r>
              <w:rPr>
                <w:rFonts w:hint="eastAsia" w:ascii="宋体" w:hAnsi="宋体"/>
                <w:color w:val="auto"/>
                <w:sz w:val="24"/>
                <w:highlight w:val="none"/>
                <w:lang w:eastAsia="zh-CN"/>
              </w:rPr>
              <w:t>余杭区小额工程全流程电子招投标系统采购项目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22" w:type="dxa"/>
            <w:tcBorders>
              <w:left w:val="single" w:color="auto" w:sz="12" w:space="0"/>
            </w:tcBorders>
            <w:vAlign w:val="center"/>
          </w:tcPr>
          <w:p>
            <w:pPr>
              <w:spacing w:line="440" w:lineRule="exact"/>
              <w:jc w:val="center"/>
              <w:rPr>
                <w:rFonts w:ascii="宋体" w:hAnsi="宋体"/>
                <w:b/>
                <w:color w:val="auto"/>
                <w:kern w:val="0"/>
                <w:sz w:val="24"/>
                <w:highlight w:val="none"/>
              </w:rPr>
            </w:pPr>
            <w:r>
              <w:rPr>
                <w:rFonts w:hint="eastAsia" w:ascii="宋体" w:hAnsi="宋体"/>
                <w:b/>
                <w:color w:val="auto"/>
                <w:kern w:val="0"/>
                <w:sz w:val="24"/>
                <w:highlight w:val="none"/>
              </w:rPr>
              <w:t>2</w:t>
            </w:r>
          </w:p>
        </w:tc>
        <w:tc>
          <w:tcPr>
            <w:tcW w:w="1754" w:type="dxa"/>
            <w:vAlign w:val="center"/>
          </w:tcPr>
          <w:p>
            <w:pPr>
              <w:spacing w:line="440" w:lineRule="exact"/>
              <w:jc w:val="center"/>
              <w:rPr>
                <w:rFonts w:ascii="宋体" w:hAnsi="宋体"/>
                <w:b/>
                <w:color w:val="auto"/>
                <w:kern w:val="0"/>
                <w:sz w:val="24"/>
                <w:highlight w:val="none"/>
              </w:rPr>
            </w:pPr>
            <w:r>
              <w:rPr>
                <w:rFonts w:hint="eastAsia" w:ascii="宋体" w:hAnsi="宋体"/>
                <w:b/>
                <w:color w:val="auto"/>
                <w:kern w:val="0"/>
                <w:sz w:val="24"/>
                <w:highlight w:val="none"/>
              </w:rPr>
              <w:t>项目编号</w:t>
            </w:r>
          </w:p>
        </w:tc>
        <w:tc>
          <w:tcPr>
            <w:tcW w:w="6962" w:type="dxa"/>
            <w:tcBorders>
              <w:right w:val="single" w:color="auto" w:sz="12" w:space="0"/>
            </w:tcBorders>
            <w:vAlign w:val="center"/>
          </w:tcPr>
          <w:p>
            <w:pPr>
              <w:spacing w:line="440" w:lineRule="exact"/>
              <w:rPr>
                <w:rFonts w:ascii="宋体" w:hAnsi="宋体"/>
                <w:color w:val="auto"/>
                <w:kern w:val="0"/>
                <w:sz w:val="24"/>
                <w:highlight w:val="none"/>
              </w:rPr>
            </w:pPr>
            <w:r>
              <w:rPr>
                <w:rFonts w:hint="eastAsia" w:ascii="宋体" w:hAnsi="宋体"/>
                <w:color w:val="auto"/>
                <w:kern w:val="0"/>
                <w:sz w:val="24"/>
                <w:highlight w:val="none"/>
                <w:lang w:eastAsia="zh-CN"/>
              </w:rPr>
              <w:t>HZYHZFCG-2019-102</w:t>
            </w:r>
            <w:r>
              <w:rPr>
                <w:rFonts w:hint="eastAsia" w:ascii="宋体" w:hAnsi="宋体"/>
                <w:color w:val="auto"/>
                <w:sz w:val="24"/>
                <w:highlight w:val="none"/>
              </w:rPr>
              <w:t xml:space="preserve">     </w:t>
            </w:r>
            <w:r>
              <w:rPr>
                <w:rFonts w:hint="eastAsia" w:ascii="宋体" w:hAnsi="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822" w:type="dxa"/>
            <w:tcBorders>
              <w:left w:val="single" w:color="auto" w:sz="12" w:space="0"/>
            </w:tcBorders>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3</w:t>
            </w:r>
          </w:p>
        </w:tc>
        <w:tc>
          <w:tcPr>
            <w:tcW w:w="1754" w:type="dxa"/>
            <w:vAlign w:val="center"/>
          </w:tcPr>
          <w:p>
            <w:pPr>
              <w:spacing w:line="440" w:lineRule="exact"/>
              <w:rPr>
                <w:rFonts w:ascii="宋体" w:hAnsi="宋体"/>
                <w:b/>
                <w:color w:val="auto"/>
                <w:sz w:val="24"/>
                <w:highlight w:val="none"/>
              </w:rPr>
            </w:pPr>
            <w:r>
              <w:rPr>
                <w:rFonts w:hint="eastAsia" w:ascii="宋体" w:hAnsi="宋体"/>
                <w:b/>
                <w:color w:val="auto"/>
                <w:sz w:val="24"/>
                <w:highlight w:val="none"/>
              </w:rPr>
              <w:t>响应有效期</w:t>
            </w:r>
          </w:p>
        </w:tc>
        <w:tc>
          <w:tcPr>
            <w:tcW w:w="6962" w:type="dxa"/>
            <w:tcBorders>
              <w:right w:val="single" w:color="auto" w:sz="12" w:space="0"/>
            </w:tcBorders>
            <w:vAlign w:val="center"/>
          </w:tcPr>
          <w:p>
            <w:pPr>
              <w:spacing w:line="440" w:lineRule="exact"/>
              <w:rPr>
                <w:rFonts w:ascii="宋体" w:hAnsi="宋体"/>
                <w:color w:val="auto"/>
                <w:sz w:val="24"/>
                <w:highlight w:val="none"/>
              </w:rPr>
            </w:pPr>
            <w:r>
              <w:rPr>
                <w:rFonts w:hint="eastAsia" w:ascii="宋体" w:hAnsi="宋体"/>
                <w:color w:val="auto"/>
                <w:sz w:val="24"/>
                <w:highlight w:val="none"/>
              </w:rPr>
              <w:t>响应文件递交后60天内有效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2" w:type="dxa"/>
            <w:tcBorders>
              <w:left w:val="single" w:color="auto" w:sz="12" w:space="0"/>
            </w:tcBorders>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4</w:t>
            </w:r>
          </w:p>
        </w:tc>
        <w:tc>
          <w:tcPr>
            <w:tcW w:w="1754" w:type="dxa"/>
            <w:vAlign w:val="center"/>
          </w:tcPr>
          <w:p>
            <w:pPr>
              <w:spacing w:line="440" w:lineRule="exact"/>
              <w:rPr>
                <w:rFonts w:ascii="宋体" w:hAnsi="宋体"/>
                <w:b/>
                <w:color w:val="auto"/>
                <w:sz w:val="24"/>
                <w:highlight w:val="none"/>
              </w:rPr>
            </w:pPr>
            <w:r>
              <w:rPr>
                <w:rFonts w:hint="eastAsia" w:ascii="宋体" w:hAnsi="宋体"/>
                <w:b/>
                <w:color w:val="auto"/>
                <w:sz w:val="24"/>
                <w:highlight w:val="none"/>
              </w:rPr>
              <w:t>响应文件份数</w:t>
            </w:r>
          </w:p>
        </w:tc>
        <w:tc>
          <w:tcPr>
            <w:tcW w:w="6962" w:type="dxa"/>
            <w:tcBorders>
              <w:right w:val="single" w:color="auto" w:sz="12" w:space="0"/>
            </w:tcBorders>
            <w:vAlign w:val="center"/>
          </w:tcPr>
          <w:p>
            <w:pPr>
              <w:adjustRightInd w:val="0"/>
              <w:snapToGrid w:val="0"/>
              <w:spacing w:line="440" w:lineRule="exact"/>
              <w:rPr>
                <w:rFonts w:ascii="宋体" w:hAnsi="宋体"/>
                <w:color w:val="auto"/>
                <w:sz w:val="24"/>
                <w:highlight w:val="none"/>
              </w:rPr>
            </w:pPr>
            <w:r>
              <w:rPr>
                <w:rFonts w:hint="eastAsia" w:ascii="宋体" w:hAnsi="宋体"/>
                <w:color w:val="auto"/>
                <w:sz w:val="24"/>
                <w:highlight w:val="none"/>
              </w:rPr>
              <w:t>正本一份、副本三份</w:t>
            </w:r>
          </w:p>
          <w:p>
            <w:pPr>
              <w:adjustRightInd w:val="0"/>
              <w:snapToGrid w:val="0"/>
              <w:spacing w:line="440" w:lineRule="exact"/>
              <w:rPr>
                <w:rFonts w:ascii="宋体" w:hAnsi="宋体"/>
                <w:color w:val="auto"/>
                <w:sz w:val="28"/>
                <w:highlight w:val="none"/>
              </w:rPr>
            </w:pPr>
            <w:r>
              <w:rPr>
                <w:rFonts w:hint="eastAsia" w:ascii="宋体" w:hAnsi="宋体"/>
                <w:b/>
                <w:color w:val="auto"/>
                <w:sz w:val="24"/>
                <w:szCs w:val="24"/>
                <w:highlight w:val="none"/>
              </w:rPr>
              <w:t>响应文件份数不符合要求的，视为无效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2" w:type="dxa"/>
            <w:tcBorders>
              <w:left w:val="single" w:color="auto" w:sz="12" w:space="0"/>
            </w:tcBorders>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5</w:t>
            </w:r>
          </w:p>
        </w:tc>
        <w:tc>
          <w:tcPr>
            <w:tcW w:w="1754" w:type="dxa"/>
            <w:vAlign w:val="center"/>
          </w:tcPr>
          <w:p>
            <w:pPr>
              <w:spacing w:line="440" w:lineRule="exact"/>
              <w:jc w:val="center"/>
              <w:rPr>
                <w:rFonts w:ascii="宋体" w:hAnsi="宋体"/>
                <w:b/>
                <w:color w:val="auto"/>
                <w:sz w:val="24"/>
                <w:szCs w:val="20"/>
                <w:highlight w:val="none"/>
              </w:rPr>
            </w:pPr>
            <w:r>
              <w:rPr>
                <w:rFonts w:hint="eastAsia" w:ascii="宋体" w:hAnsi="宋体"/>
                <w:b/>
                <w:color w:val="auto"/>
                <w:sz w:val="24"/>
                <w:szCs w:val="20"/>
                <w:highlight w:val="none"/>
              </w:rPr>
              <w:t>评审方法</w:t>
            </w:r>
          </w:p>
        </w:tc>
        <w:tc>
          <w:tcPr>
            <w:tcW w:w="6962" w:type="dxa"/>
            <w:tcBorders>
              <w:right w:val="single" w:color="auto" w:sz="12" w:space="0"/>
            </w:tcBorders>
            <w:vAlign w:val="center"/>
          </w:tcPr>
          <w:p>
            <w:pPr>
              <w:pStyle w:val="6"/>
              <w:spacing w:line="360" w:lineRule="auto"/>
              <w:ind w:firstLine="0"/>
              <w:rPr>
                <w:rFonts w:ascii="宋体" w:hAnsi="宋体"/>
                <w:b/>
                <w:color w:val="auto"/>
                <w:sz w:val="24"/>
                <w:szCs w:val="24"/>
                <w:highlight w:val="none"/>
              </w:rPr>
            </w:pPr>
            <w:r>
              <w:rPr>
                <w:rFonts w:hint="eastAsia" w:ascii="宋体" w:hAnsi="宋体"/>
                <w:b/>
                <w:color w:val="auto"/>
                <w:sz w:val="24"/>
                <w:szCs w:val="24"/>
                <w:highlight w:val="none"/>
              </w:rPr>
              <w:t>比照最低评标价法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2" w:type="dxa"/>
            <w:tcBorders>
              <w:left w:val="single" w:color="auto" w:sz="12" w:space="0"/>
            </w:tcBorders>
            <w:vAlign w:val="center"/>
          </w:tcPr>
          <w:p>
            <w:pPr>
              <w:spacing w:line="440" w:lineRule="exact"/>
              <w:jc w:val="center"/>
              <w:rPr>
                <w:rFonts w:ascii="宋体" w:hAnsi="宋体"/>
                <w:b/>
                <w:color w:val="auto"/>
                <w:sz w:val="24"/>
                <w:highlight w:val="none"/>
              </w:rPr>
            </w:pPr>
            <w:r>
              <w:rPr>
                <w:rFonts w:hint="eastAsia" w:ascii="宋体" w:hAnsi="宋体" w:cs="宋体"/>
                <w:b/>
                <w:color w:val="auto"/>
                <w:sz w:val="24"/>
                <w:highlight w:val="none"/>
              </w:rPr>
              <w:t>6</w:t>
            </w:r>
          </w:p>
        </w:tc>
        <w:tc>
          <w:tcPr>
            <w:tcW w:w="1754" w:type="dxa"/>
            <w:vAlign w:val="center"/>
          </w:tcPr>
          <w:p>
            <w:pPr>
              <w:spacing w:line="440" w:lineRule="exact"/>
              <w:jc w:val="center"/>
              <w:rPr>
                <w:rFonts w:ascii="宋体" w:hAnsi="宋体"/>
                <w:b/>
                <w:color w:val="auto"/>
                <w:sz w:val="24"/>
                <w:szCs w:val="20"/>
                <w:highlight w:val="none"/>
              </w:rPr>
            </w:pPr>
            <w:r>
              <w:rPr>
                <w:rFonts w:hint="eastAsia" w:ascii="宋体" w:hAnsi="宋体" w:cs="宋体"/>
                <w:b/>
                <w:bCs/>
                <w:color w:val="auto"/>
                <w:kern w:val="0"/>
                <w:sz w:val="24"/>
                <w:highlight w:val="none"/>
              </w:rPr>
              <w:t>支持中小企业</w:t>
            </w:r>
          </w:p>
        </w:tc>
        <w:tc>
          <w:tcPr>
            <w:tcW w:w="6962" w:type="dxa"/>
            <w:tcBorders>
              <w:right w:val="single" w:color="auto" w:sz="12" w:space="0"/>
            </w:tcBorders>
            <w:vAlign w:val="center"/>
          </w:tcPr>
          <w:p>
            <w:pPr>
              <w:snapToGrid w:val="0"/>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相关资格认定要求：</w:t>
            </w:r>
            <w:r>
              <w:rPr>
                <w:rFonts w:hint="eastAsia" w:ascii="宋体" w:hAnsi="宋体" w:cs="宋体"/>
                <w:color w:val="auto"/>
                <w:sz w:val="24"/>
                <w:highlight w:val="none"/>
              </w:rPr>
              <w:t>按照《关于印发中小企业划型标准规定的通知》（工信部联企业〔2011〕300号）相关规定，根据具体品目确定相应标准。符合上述条件的中小微型企业应按照采购文件“第五部分 投标文件格式”的格式要求提供《中小企业声明函》、《</w:t>
            </w:r>
            <w:r>
              <w:rPr>
                <w:rFonts w:hint="eastAsia" w:ascii="宋体" w:hAnsi="宋体" w:cs="宋体"/>
                <w:color w:val="auto"/>
                <w:sz w:val="24"/>
                <w:highlight w:val="none"/>
                <w:lang w:eastAsia="zh-CN"/>
              </w:rPr>
              <w:t>承诺书</w:t>
            </w:r>
            <w:r>
              <w:rPr>
                <w:rFonts w:hint="eastAsia" w:ascii="宋体" w:hAnsi="宋体" w:cs="宋体"/>
                <w:color w:val="auto"/>
                <w:sz w:val="24"/>
                <w:highlight w:val="none"/>
              </w:rPr>
              <w:t>》</w:t>
            </w:r>
            <w:r>
              <w:rPr>
                <w:rFonts w:hint="eastAsia" w:ascii="宋体" w:hAnsi="宋体" w:cs="宋体"/>
                <w:color w:val="auto"/>
                <w:sz w:val="24"/>
                <w:highlight w:val="none"/>
                <w:lang w:eastAsia="zh-CN"/>
              </w:rPr>
              <w:t>及相关资料</w:t>
            </w:r>
            <w:r>
              <w:rPr>
                <w:rFonts w:hint="eastAsia" w:ascii="宋体" w:hAnsi="宋体" w:cs="宋体"/>
                <w:color w:val="auto"/>
                <w:sz w:val="24"/>
                <w:highlight w:val="none"/>
              </w:rPr>
              <w:t>。符合《关于促进残疾人就业政府采购政策的通知》（财库〔2017〕141号）规定的条件并提供《残疾人福利性单位声明函》（按照“第五部分 投标文件格式”）的残疾人福利性单位视同小型、微型企业；根据《关于政府采购支持监狱企业发展有关问题的通知》（财库〔2014〕68号）的规定，响应人提供由省级以上监狱管理局、戒毒管理局（含新疆生产建设兵团）出具的属于监狱企业证明文件的，视同为小型和微型企业。</w:t>
            </w:r>
          </w:p>
          <w:p>
            <w:pPr>
              <w:snapToGrid w:val="0"/>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价格扣除：</w:t>
            </w:r>
            <w:r>
              <w:rPr>
                <w:rFonts w:hint="eastAsia" w:ascii="宋体" w:hAnsi="宋体" w:cs="宋体"/>
                <w:color w:val="auto"/>
                <w:sz w:val="24"/>
                <w:highlight w:val="none"/>
              </w:rPr>
              <w:t>根据财政部发布的《政府采购促进中小企业发展暂行办法》（</w:t>
            </w:r>
            <w:r>
              <w:rPr>
                <w:rFonts w:hint="eastAsia" w:ascii="宋体" w:hAnsi="宋体"/>
                <w:color w:val="auto"/>
                <w:sz w:val="24"/>
                <w:highlight w:val="none"/>
                <w:shd w:val="clear" w:color="auto" w:fill="FFFFFF"/>
              </w:rPr>
              <w:t>财库〔2011〕181号）</w:t>
            </w:r>
            <w:r>
              <w:rPr>
                <w:rFonts w:hint="eastAsia" w:ascii="宋体" w:hAnsi="宋体" w:cs="宋体"/>
                <w:color w:val="auto"/>
                <w:sz w:val="24"/>
                <w:highlight w:val="none"/>
              </w:rPr>
              <w:t>规定，对于非专门面向此类企业的项目，对小型和微型企业产品的价格给予6%的扣除，用扣除后的价格参与评审。</w:t>
            </w:r>
          </w:p>
          <w:p>
            <w:pPr>
              <w:snapToGrid w:val="0"/>
              <w:spacing w:line="360" w:lineRule="auto"/>
              <w:ind w:firstLine="480" w:firstLineChars="200"/>
              <w:rPr>
                <w:rFonts w:ascii="宋体" w:hAnsi="宋体"/>
                <w:b/>
                <w:color w:val="auto"/>
                <w:sz w:val="24"/>
                <w:szCs w:val="24"/>
                <w:highlight w:val="none"/>
              </w:rPr>
            </w:pPr>
            <w:r>
              <w:rPr>
                <w:rFonts w:hint="eastAsia" w:ascii="宋体" w:hAnsi="宋体" w:cs="宋体"/>
                <w:color w:val="auto"/>
                <w:sz w:val="24"/>
                <w:highlight w:val="none"/>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价格扣除。联合体各方均为小型、微型企业的，联合体视同为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2" w:type="dxa"/>
            <w:tcBorders>
              <w:left w:val="single" w:color="auto" w:sz="12" w:space="0"/>
            </w:tcBorders>
            <w:vAlign w:val="center"/>
          </w:tcPr>
          <w:p>
            <w:pPr>
              <w:spacing w:line="440" w:lineRule="exact"/>
              <w:jc w:val="center"/>
              <w:rPr>
                <w:rFonts w:ascii="宋体" w:hAnsi="宋体"/>
                <w:b/>
                <w:color w:val="auto"/>
                <w:sz w:val="24"/>
                <w:highlight w:val="none"/>
              </w:rPr>
            </w:pPr>
            <w:r>
              <w:rPr>
                <w:rFonts w:hint="eastAsia" w:ascii="宋体" w:hAnsi="宋体" w:cs="宋体"/>
                <w:b/>
                <w:color w:val="auto"/>
                <w:sz w:val="24"/>
                <w:highlight w:val="none"/>
              </w:rPr>
              <w:t>7</w:t>
            </w:r>
          </w:p>
        </w:tc>
        <w:tc>
          <w:tcPr>
            <w:tcW w:w="1754" w:type="dxa"/>
            <w:vAlign w:val="center"/>
          </w:tcPr>
          <w:p>
            <w:pPr>
              <w:spacing w:line="440" w:lineRule="exact"/>
              <w:jc w:val="center"/>
              <w:rPr>
                <w:rFonts w:ascii="宋体" w:hAnsi="宋体"/>
                <w:b/>
                <w:color w:val="auto"/>
                <w:sz w:val="24"/>
                <w:szCs w:val="20"/>
                <w:highlight w:val="none"/>
              </w:rPr>
            </w:pPr>
            <w:r>
              <w:rPr>
                <w:rFonts w:hint="eastAsia" w:ascii="宋体" w:hAnsi="宋体" w:cs="宋体"/>
                <w:b/>
                <w:color w:val="auto"/>
                <w:sz w:val="24"/>
                <w:highlight w:val="none"/>
              </w:rPr>
              <w:t>企业信用融资</w:t>
            </w:r>
          </w:p>
        </w:tc>
        <w:tc>
          <w:tcPr>
            <w:tcW w:w="6962" w:type="dxa"/>
            <w:tcBorders>
              <w:right w:val="single" w:color="auto" w:sz="12" w:space="0"/>
            </w:tcBorders>
            <w:vAlign w:val="center"/>
          </w:tcPr>
          <w:p>
            <w:pPr>
              <w:spacing w:line="440" w:lineRule="exact"/>
              <w:ind w:firstLine="480" w:firstLineChars="200"/>
              <w:rPr>
                <w:rFonts w:ascii="宋体" w:hAnsi="宋体"/>
                <w:b/>
                <w:color w:val="auto"/>
                <w:sz w:val="24"/>
                <w:szCs w:val="24"/>
                <w:highlight w:val="none"/>
              </w:rPr>
            </w:pPr>
            <w:r>
              <w:rPr>
                <w:rFonts w:hint="eastAsia" w:ascii="宋体" w:hAnsi="宋体" w:cs="宋体"/>
                <w:color w:val="auto"/>
                <w:sz w:val="24"/>
                <w:highlight w:val="none"/>
              </w:rPr>
              <w:t>根据《余杭区政府采购支持中小企业信用融资暂行办法》（余财采〔2015〕1号）的规定，凡已在浙江政府采购网上注册入库，并取得余杭区政府采购合同的区内中小企业供应商，均可申请政府采购信用融资，相关信息请在余杭区公共资源交易网（http://www.yhggzy.com.cn/）“余杭区中小企业信用融资”模块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2" w:type="dxa"/>
            <w:vMerge w:val="restart"/>
            <w:tcBorders>
              <w:left w:val="single" w:color="auto" w:sz="12" w:space="0"/>
            </w:tcBorders>
            <w:vAlign w:val="center"/>
          </w:tcPr>
          <w:p>
            <w:pPr>
              <w:spacing w:line="440" w:lineRule="exact"/>
              <w:jc w:val="center"/>
              <w:rPr>
                <w:rFonts w:ascii="宋体" w:hAnsi="宋体"/>
                <w:b/>
                <w:color w:val="auto"/>
                <w:sz w:val="24"/>
                <w:highlight w:val="none"/>
              </w:rPr>
            </w:pPr>
            <w:r>
              <w:rPr>
                <w:rFonts w:hint="eastAsia" w:ascii="宋体" w:hAnsi="宋体" w:cs="宋体"/>
                <w:b/>
                <w:color w:val="auto"/>
                <w:sz w:val="24"/>
                <w:highlight w:val="none"/>
              </w:rPr>
              <w:t>8</w:t>
            </w:r>
          </w:p>
        </w:tc>
        <w:tc>
          <w:tcPr>
            <w:tcW w:w="1754" w:type="dxa"/>
            <w:vMerge w:val="restart"/>
            <w:vAlign w:val="center"/>
          </w:tcPr>
          <w:p>
            <w:pPr>
              <w:spacing w:line="440" w:lineRule="exact"/>
              <w:jc w:val="center"/>
              <w:rPr>
                <w:rFonts w:ascii="宋体" w:hAnsi="宋体"/>
                <w:b/>
                <w:color w:val="auto"/>
                <w:sz w:val="24"/>
                <w:szCs w:val="20"/>
                <w:highlight w:val="none"/>
              </w:rPr>
            </w:pPr>
            <w:r>
              <w:rPr>
                <w:rFonts w:hint="eastAsia" w:ascii="宋体" w:hAnsi="宋体" w:cs="宋体"/>
                <w:b/>
                <w:color w:val="auto"/>
                <w:sz w:val="24"/>
                <w:highlight w:val="none"/>
              </w:rPr>
              <w:t>信用信息事项</w:t>
            </w:r>
          </w:p>
        </w:tc>
        <w:tc>
          <w:tcPr>
            <w:tcW w:w="6962" w:type="dxa"/>
            <w:tcBorders>
              <w:right w:val="single" w:color="auto" w:sz="12" w:space="0"/>
            </w:tcBorders>
            <w:vAlign w:val="center"/>
          </w:tcPr>
          <w:p>
            <w:pPr>
              <w:spacing w:line="440" w:lineRule="exact"/>
              <w:ind w:firstLine="482" w:firstLineChars="200"/>
              <w:rPr>
                <w:rFonts w:ascii="宋体" w:hAnsi="宋体"/>
                <w:b/>
                <w:color w:val="auto"/>
                <w:sz w:val="24"/>
                <w:szCs w:val="24"/>
                <w:highlight w:val="none"/>
              </w:rPr>
            </w:pPr>
            <w:r>
              <w:rPr>
                <w:rFonts w:hint="eastAsia" w:ascii="宋体" w:hAnsi="宋体" w:cs="宋体"/>
                <w:b/>
                <w:color w:val="auto"/>
                <w:sz w:val="24"/>
                <w:highlight w:val="none"/>
              </w:rPr>
              <w:t>信用信息查询渠道及截止时间：</w:t>
            </w:r>
            <w:r>
              <w:rPr>
                <w:rFonts w:hint="eastAsia" w:ascii="宋体" w:hAnsi="宋体" w:cs="宋体"/>
                <w:color w:val="auto"/>
                <w:sz w:val="24"/>
                <w:highlight w:val="none"/>
              </w:rPr>
              <w:t>项目评审组织人员将通过“信用中国”网站(www.creditchina.gov.cn)、中国政府采购网(www.ccgp.gov.cn)渠道查询供应商</w:t>
            </w:r>
            <w:r>
              <w:rPr>
                <w:rFonts w:hint="eastAsia" w:ascii="宋体" w:hAnsi="宋体" w:cs="宋体"/>
                <w:b/>
                <w:color w:val="auto"/>
                <w:sz w:val="24"/>
                <w:highlight w:val="none"/>
              </w:rPr>
              <w:t>响应截止时间前</w:t>
            </w:r>
            <w:r>
              <w:rPr>
                <w:rFonts w:hint="eastAsia" w:ascii="宋体" w:hAnsi="宋体" w:cs="宋体"/>
                <w:color w:val="auto"/>
                <w:sz w:val="24"/>
                <w:highlight w:val="none"/>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2" w:type="dxa"/>
            <w:vMerge w:val="continue"/>
            <w:tcBorders>
              <w:left w:val="single" w:color="auto" w:sz="12" w:space="0"/>
            </w:tcBorders>
            <w:vAlign w:val="center"/>
          </w:tcPr>
          <w:p>
            <w:pPr>
              <w:spacing w:line="440" w:lineRule="exact"/>
              <w:jc w:val="center"/>
              <w:rPr>
                <w:rFonts w:ascii="宋体" w:hAnsi="宋体"/>
                <w:b/>
                <w:color w:val="auto"/>
                <w:sz w:val="24"/>
                <w:highlight w:val="none"/>
              </w:rPr>
            </w:pPr>
          </w:p>
        </w:tc>
        <w:tc>
          <w:tcPr>
            <w:tcW w:w="1754" w:type="dxa"/>
            <w:vMerge w:val="continue"/>
            <w:vAlign w:val="center"/>
          </w:tcPr>
          <w:p>
            <w:pPr>
              <w:spacing w:line="440" w:lineRule="exact"/>
              <w:jc w:val="center"/>
              <w:rPr>
                <w:rFonts w:ascii="宋体" w:hAnsi="宋体"/>
                <w:b/>
                <w:color w:val="auto"/>
                <w:sz w:val="24"/>
                <w:szCs w:val="20"/>
                <w:highlight w:val="none"/>
              </w:rPr>
            </w:pPr>
          </w:p>
        </w:tc>
        <w:tc>
          <w:tcPr>
            <w:tcW w:w="6962" w:type="dxa"/>
            <w:tcBorders>
              <w:right w:val="single" w:color="auto" w:sz="12" w:space="0"/>
            </w:tcBorders>
            <w:vAlign w:val="center"/>
          </w:tcPr>
          <w:p>
            <w:pPr>
              <w:spacing w:line="440" w:lineRule="exact"/>
              <w:ind w:firstLine="482" w:firstLineChars="200"/>
              <w:rPr>
                <w:rFonts w:ascii="宋体" w:hAnsi="宋体"/>
                <w:b/>
                <w:color w:val="auto"/>
                <w:sz w:val="24"/>
                <w:szCs w:val="24"/>
                <w:highlight w:val="none"/>
              </w:rPr>
            </w:pPr>
            <w:r>
              <w:rPr>
                <w:rFonts w:hint="eastAsia" w:ascii="宋体" w:hAnsi="宋体" w:cs="宋体"/>
                <w:b/>
                <w:color w:val="auto"/>
                <w:sz w:val="24"/>
                <w:highlight w:val="none"/>
              </w:rPr>
              <w:t>信用信息查询记录和证据留存的具体方式：</w:t>
            </w:r>
            <w:r>
              <w:rPr>
                <w:rFonts w:hint="eastAsia" w:ascii="宋体" w:hAnsi="宋体" w:cs="宋体"/>
                <w:color w:val="auto"/>
                <w:sz w:val="24"/>
                <w:highlight w:val="none"/>
              </w:rPr>
              <w:t>项目评审组织人员现场查询供应商的信用记录，查询结果与采购文件一起存档。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2" w:type="dxa"/>
            <w:vMerge w:val="continue"/>
            <w:tcBorders>
              <w:left w:val="single" w:color="auto" w:sz="12" w:space="0"/>
            </w:tcBorders>
            <w:vAlign w:val="center"/>
          </w:tcPr>
          <w:p>
            <w:pPr>
              <w:spacing w:line="440" w:lineRule="exact"/>
              <w:jc w:val="center"/>
              <w:rPr>
                <w:rFonts w:ascii="宋体" w:hAnsi="宋体"/>
                <w:b/>
                <w:color w:val="auto"/>
                <w:sz w:val="24"/>
                <w:highlight w:val="none"/>
              </w:rPr>
            </w:pPr>
          </w:p>
        </w:tc>
        <w:tc>
          <w:tcPr>
            <w:tcW w:w="1754" w:type="dxa"/>
            <w:vMerge w:val="continue"/>
            <w:vAlign w:val="center"/>
          </w:tcPr>
          <w:p>
            <w:pPr>
              <w:spacing w:line="440" w:lineRule="exact"/>
              <w:jc w:val="center"/>
              <w:rPr>
                <w:rFonts w:ascii="宋体" w:hAnsi="宋体"/>
                <w:b/>
                <w:color w:val="auto"/>
                <w:sz w:val="24"/>
                <w:szCs w:val="20"/>
                <w:highlight w:val="none"/>
              </w:rPr>
            </w:pPr>
          </w:p>
        </w:tc>
        <w:tc>
          <w:tcPr>
            <w:tcW w:w="6962" w:type="dxa"/>
            <w:tcBorders>
              <w:right w:val="single" w:color="auto" w:sz="12" w:space="0"/>
            </w:tcBorders>
            <w:vAlign w:val="center"/>
          </w:tcPr>
          <w:p>
            <w:pPr>
              <w:spacing w:line="440" w:lineRule="exact"/>
              <w:ind w:firstLine="482" w:firstLineChars="200"/>
              <w:rPr>
                <w:rFonts w:ascii="宋体" w:hAnsi="宋体"/>
                <w:b/>
                <w:color w:val="auto"/>
                <w:sz w:val="24"/>
                <w:szCs w:val="24"/>
                <w:highlight w:val="none"/>
              </w:rPr>
            </w:pPr>
            <w:r>
              <w:rPr>
                <w:rFonts w:hint="eastAsia" w:ascii="宋体" w:hAnsi="宋体" w:cs="宋体"/>
                <w:b/>
                <w:color w:val="auto"/>
                <w:sz w:val="24"/>
                <w:highlight w:val="none"/>
              </w:rPr>
              <w:t>信用信息的使用规则：</w:t>
            </w:r>
            <w:r>
              <w:rPr>
                <w:rFonts w:hint="eastAsia" w:ascii="宋体" w:hAnsi="宋体" w:cs="宋体"/>
                <w:color w:val="auto"/>
                <w:sz w:val="24"/>
                <w:highlight w:val="none"/>
              </w:rPr>
              <w:t>经查询列入失信被执行人名单、重大税收违法案件当事人名单、政府采购严重违法失信行为记录名单的供应商的响应文件将被拒绝。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2" w:type="dxa"/>
            <w:tcBorders>
              <w:left w:val="single" w:color="auto" w:sz="12" w:space="0"/>
            </w:tcBorders>
            <w:vAlign w:val="center"/>
          </w:tcPr>
          <w:p>
            <w:pPr>
              <w:spacing w:line="440" w:lineRule="exact"/>
              <w:jc w:val="center"/>
              <w:rPr>
                <w:rFonts w:ascii="宋体" w:hAnsi="宋体"/>
                <w:b/>
                <w:color w:val="auto"/>
                <w:sz w:val="24"/>
                <w:highlight w:val="none"/>
              </w:rPr>
            </w:pPr>
            <w:r>
              <w:rPr>
                <w:rFonts w:hint="eastAsia" w:ascii="宋体" w:hAnsi="宋体" w:cs="宋体"/>
                <w:b/>
                <w:color w:val="auto"/>
                <w:sz w:val="24"/>
                <w:highlight w:val="none"/>
                <w:lang w:val="en-US" w:eastAsia="zh-CN"/>
              </w:rPr>
              <w:t>9</w:t>
            </w:r>
          </w:p>
        </w:tc>
        <w:tc>
          <w:tcPr>
            <w:tcW w:w="1754" w:type="dxa"/>
            <w:vAlign w:val="center"/>
          </w:tcPr>
          <w:p>
            <w:pPr>
              <w:spacing w:line="440" w:lineRule="exact"/>
              <w:jc w:val="center"/>
              <w:rPr>
                <w:rFonts w:ascii="宋体" w:hAnsi="宋体"/>
                <w:b/>
                <w:color w:val="auto"/>
                <w:sz w:val="24"/>
                <w:szCs w:val="20"/>
                <w:highlight w:val="none"/>
              </w:rPr>
            </w:pPr>
            <w:r>
              <w:rPr>
                <w:rFonts w:hint="eastAsia" w:ascii="宋体" w:hAnsi="宋体" w:cs="宋体"/>
                <w:b/>
                <w:bCs/>
                <w:color w:val="auto"/>
                <w:sz w:val="24"/>
                <w:highlight w:val="none"/>
                <w:lang w:val="en-US" w:eastAsia="zh-CN"/>
              </w:rPr>
              <w:t>可能实质性变动内容</w:t>
            </w:r>
          </w:p>
        </w:tc>
        <w:tc>
          <w:tcPr>
            <w:tcW w:w="6962" w:type="dxa"/>
            <w:tcBorders>
              <w:right w:val="single" w:color="auto" w:sz="12" w:space="0"/>
            </w:tcBorders>
            <w:vAlign w:val="center"/>
          </w:tcPr>
          <w:p>
            <w:pPr>
              <w:spacing w:line="440" w:lineRule="exact"/>
              <w:ind w:firstLine="480" w:firstLineChars="200"/>
              <w:rPr>
                <w:rFonts w:hint="eastAsia" w:ascii="宋体" w:hAnsi="宋体" w:cs="宋体"/>
                <w:b/>
                <w:color w:val="auto"/>
                <w:sz w:val="24"/>
                <w:highlight w:val="none"/>
              </w:rPr>
            </w:pPr>
            <w:r>
              <w:rPr>
                <w:rFonts w:hint="eastAsia" w:ascii="宋体" w:hAnsi="宋体" w:cs="宋体"/>
                <w:color w:val="auto"/>
                <w:sz w:val="24"/>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2" w:type="dxa"/>
            <w:tcBorders>
              <w:left w:val="single" w:color="auto" w:sz="12" w:space="0"/>
            </w:tcBorders>
            <w:vAlign w:val="center"/>
          </w:tcPr>
          <w:p>
            <w:pPr>
              <w:spacing w:line="440" w:lineRule="exact"/>
              <w:jc w:val="center"/>
              <w:rPr>
                <w:rFonts w:hint="eastAsia" w:ascii="宋体" w:hAnsi="宋体" w:eastAsia="宋体"/>
                <w:b/>
                <w:color w:val="auto"/>
                <w:sz w:val="24"/>
                <w:highlight w:val="none"/>
                <w:lang w:eastAsia="zh-CN"/>
              </w:rPr>
            </w:pPr>
            <w:r>
              <w:rPr>
                <w:rFonts w:hint="eastAsia" w:ascii="宋体" w:hAnsi="宋体"/>
                <w:b/>
                <w:color w:val="auto"/>
                <w:sz w:val="24"/>
                <w:highlight w:val="none"/>
                <w:lang w:val="en-US" w:eastAsia="zh-CN"/>
              </w:rPr>
              <w:t>10</w:t>
            </w:r>
          </w:p>
        </w:tc>
        <w:tc>
          <w:tcPr>
            <w:tcW w:w="8716" w:type="dxa"/>
            <w:gridSpan w:val="2"/>
            <w:tcBorders>
              <w:right w:val="single" w:color="auto" w:sz="12" w:space="0"/>
            </w:tcBorders>
            <w:vAlign w:val="center"/>
          </w:tcPr>
          <w:p>
            <w:pPr>
              <w:spacing w:line="440" w:lineRule="exact"/>
              <w:rPr>
                <w:rFonts w:ascii="宋体" w:hAnsi="宋体"/>
                <w:b/>
                <w:color w:val="auto"/>
                <w:sz w:val="24"/>
                <w:szCs w:val="20"/>
                <w:highlight w:val="none"/>
              </w:rPr>
            </w:pPr>
            <w:r>
              <w:rPr>
                <w:rFonts w:hint="eastAsia" w:ascii="宋体" w:hAnsi="宋体"/>
                <w:b/>
                <w:color w:val="auto"/>
                <w:sz w:val="24"/>
                <w:szCs w:val="20"/>
                <w:highlight w:val="none"/>
              </w:rPr>
              <w:t>本项目预算公开，总预算价为</w:t>
            </w:r>
            <w:r>
              <w:rPr>
                <w:rFonts w:hint="eastAsia" w:ascii="宋体" w:hAnsi="宋体"/>
                <w:b/>
                <w:color w:val="auto"/>
                <w:sz w:val="24"/>
                <w:highlight w:val="none"/>
                <w:u w:val="single"/>
                <w:lang w:val="en-US" w:eastAsia="zh-CN"/>
              </w:rPr>
              <w:t>55</w:t>
            </w:r>
            <w:r>
              <w:rPr>
                <w:rFonts w:hint="eastAsia" w:ascii="宋体" w:hAnsi="宋体"/>
                <w:b/>
                <w:color w:val="auto"/>
                <w:sz w:val="24"/>
                <w:szCs w:val="20"/>
                <w:highlight w:val="none"/>
              </w:rPr>
              <w:t>万元。</w:t>
            </w:r>
          </w:p>
          <w:p>
            <w:pPr>
              <w:spacing w:line="440" w:lineRule="exact"/>
              <w:rPr>
                <w:rFonts w:ascii="宋体" w:hAnsi="宋体"/>
                <w:b/>
                <w:color w:val="auto"/>
                <w:sz w:val="24"/>
                <w:szCs w:val="20"/>
                <w:highlight w:val="none"/>
              </w:rPr>
            </w:pPr>
            <w:r>
              <w:rPr>
                <w:rFonts w:hint="eastAsia" w:ascii="宋体" w:hAnsi="宋体"/>
                <w:b/>
                <w:color w:val="auto"/>
                <w:sz w:val="24"/>
                <w:szCs w:val="20"/>
                <w:highlight w:val="none"/>
              </w:rPr>
              <w:t>本项目报价超过预算价的（即报价&gt;预算价），</w:t>
            </w:r>
            <w:r>
              <w:rPr>
                <w:rFonts w:hint="eastAsia" w:ascii="宋体" w:hAnsi="宋体"/>
                <w:b/>
                <w:color w:val="auto"/>
                <w:sz w:val="24"/>
                <w:szCs w:val="24"/>
                <w:highlight w:val="none"/>
              </w:rPr>
              <w:t>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2" w:type="dxa"/>
            <w:tcBorders>
              <w:left w:val="single" w:color="auto" w:sz="12" w:space="0"/>
            </w:tcBorders>
            <w:vAlign w:val="center"/>
          </w:tcPr>
          <w:p>
            <w:pPr>
              <w:spacing w:line="440" w:lineRule="exact"/>
              <w:jc w:val="center"/>
              <w:rPr>
                <w:rFonts w:hint="eastAsia" w:ascii="宋体" w:hAnsi="宋体"/>
                <w:b/>
                <w:color w:val="auto"/>
                <w:sz w:val="24"/>
                <w:highlight w:val="none"/>
                <w:lang w:val="en-US" w:eastAsia="zh-CN"/>
              </w:rPr>
            </w:pPr>
            <w:r>
              <w:rPr>
                <w:rFonts w:hint="eastAsia" w:ascii="宋体" w:hAnsi="宋体"/>
                <w:b/>
                <w:color w:val="auto"/>
                <w:sz w:val="24"/>
                <w:highlight w:val="none"/>
                <w:lang w:val="en-US" w:eastAsia="zh-CN"/>
              </w:rPr>
              <w:t>11</w:t>
            </w:r>
          </w:p>
        </w:tc>
        <w:tc>
          <w:tcPr>
            <w:tcW w:w="8716" w:type="dxa"/>
            <w:gridSpan w:val="2"/>
            <w:tcBorders>
              <w:right w:val="single" w:color="auto" w:sz="12" w:space="0"/>
            </w:tcBorders>
            <w:vAlign w:val="center"/>
          </w:tcPr>
          <w:p>
            <w:pPr>
              <w:adjustRightInd w:val="0"/>
              <w:snapToGrid w:val="0"/>
              <w:spacing w:line="360" w:lineRule="auto"/>
              <w:ind w:firstLine="482" w:firstLineChars="200"/>
              <w:jc w:val="left"/>
              <w:rPr>
                <w:rFonts w:hint="eastAsia" w:ascii="宋体" w:hAnsi="宋体"/>
                <w:b/>
                <w:color w:val="auto"/>
                <w:sz w:val="24"/>
                <w:szCs w:val="20"/>
                <w:highlight w:val="none"/>
              </w:rPr>
            </w:pPr>
            <w:r>
              <w:rPr>
                <w:rFonts w:hint="eastAsia" w:ascii="Times New Roman" w:hAnsi="Times New Roman"/>
                <w:b/>
                <w:color w:val="auto"/>
                <w:sz w:val="24"/>
                <w:szCs w:val="20"/>
                <w:highlight w:val="none"/>
              </w:rPr>
              <w:t>本项目已按规定于201</w:t>
            </w:r>
            <w:r>
              <w:rPr>
                <w:rFonts w:hint="eastAsia" w:ascii="Times New Roman" w:hAnsi="Times New Roman"/>
                <w:b/>
                <w:color w:val="auto"/>
                <w:sz w:val="24"/>
                <w:szCs w:val="20"/>
                <w:highlight w:val="none"/>
                <w:lang w:val="en-US" w:eastAsia="zh-CN"/>
              </w:rPr>
              <w:t>9</w:t>
            </w:r>
            <w:r>
              <w:rPr>
                <w:rFonts w:hint="eastAsia" w:ascii="Times New Roman" w:hAnsi="Times New Roman"/>
                <w:b/>
                <w:color w:val="auto"/>
                <w:sz w:val="24"/>
                <w:szCs w:val="20"/>
                <w:highlight w:val="none"/>
              </w:rPr>
              <w:t>年</w:t>
            </w:r>
            <w:r>
              <w:rPr>
                <w:rFonts w:hint="eastAsia" w:ascii="Times New Roman" w:hAnsi="Times New Roman"/>
                <w:b/>
                <w:color w:val="auto"/>
                <w:sz w:val="24"/>
                <w:szCs w:val="20"/>
                <w:highlight w:val="none"/>
                <w:lang w:val="en-US" w:eastAsia="zh-CN"/>
              </w:rPr>
              <w:t>8</w:t>
            </w:r>
            <w:r>
              <w:rPr>
                <w:rFonts w:hint="eastAsia" w:ascii="Times New Roman" w:hAnsi="Times New Roman"/>
                <w:b/>
                <w:color w:val="auto"/>
                <w:sz w:val="24"/>
                <w:szCs w:val="20"/>
                <w:highlight w:val="none"/>
              </w:rPr>
              <w:t>月</w:t>
            </w:r>
            <w:r>
              <w:rPr>
                <w:rFonts w:hint="eastAsia" w:ascii="Times New Roman" w:hAnsi="Times New Roman"/>
                <w:b/>
                <w:color w:val="auto"/>
                <w:sz w:val="24"/>
                <w:szCs w:val="20"/>
                <w:highlight w:val="none"/>
                <w:lang w:val="en-US" w:eastAsia="zh-CN"/>
              </w:rPr>
              <w:t>23</w:t>
            </w:r>
            <w:r>
              <w:rPr>
                <w:rFonts w:hint="eastAsia" w:ascii="Times New Roman" w:hAnsi="Times New Roman"/>
                <w:b/>
                <w:color w:val="auto"/>
                <w:sz w:val="24"/>
                <w:szCs w:val="20"/>
                <w:highlight w:val="none"/>
              </w:rPr>
              <w:t>日（原项目编HZYHZFCG-201</w:t>
            </w:r>
            <w:r>
              <w:rPr>
                <w:rFonts w:hint="eastAsia" w:ascii="Times New Roman" w:hAnsi="Times New Roman"/>
                <w:b/>
                <w:color w:val="auto"/>
                <w:sz w:val="24"/>
                <w:szCs w:val="20"/>
                <w:highlight w:val="none"/>
                <w:lang w:val="en-US" w:eastAsia="zh-CN"/>
              </w:rPr>
              <w:t>9</w:t>
            </w:r>
            <w:r>
              <w:rPr>
                <w:rFonts w:hint="eastAsia" w:ascii="Times New Roman" w:hAnsi="Times New Roman"/>
                <w:b/>
                <w:color w:val="auto"/>
                <w:sz w:val="24"/>
                <w:szCs w:val="20"/>
                <w:highlight w:val="none"/>
              </w:rPr>
              <w:t>-10</w:t>
            </w:r>
            <w:r>
              <w:rPr>
                <w:rFonts w:hint="eastAsia" w:ascii="Times New Roman" w:hAnsi="Times New Roman"/>
                <w:b/>
                <w:color w:val="auto"/>
                <w:sz w:val="24"/>
                <w:szCs w:val="20"/>
                <w:highlight w:val="none"/>
                <w:lang w:val="en-US" w:eastAsia="zh-CN"/>
              </w:rPr>
              <w:t>0</w:t>
            </w:r>
            <w:r>
              <w:rPr>
                <w:rFonts w:hint="eastAsia" w:ascii="Times New Roman" w:hAnsi="Times New Roman"/>
                <w:b/>
                <w:color w:val="auto"/>
                <w:sz w:val="24"/>
                <w:szCs w:val="20"/>
                <w:highlight w:val="none"/>
              </w:rPr>
              <w:t>）</w:t>
            </w:r>
            <w:r>
              <w:rPr>
                <w:rFonts w:hint="eastAsia" w:ascii="Times New Roman" w:hAnsi="Times New Roman"/>
                <w:b/>
                <w:color w:val="auto"/>
                <w:sz w:val="24"/>
                <w:szCs w:val="20"/>
                <w:highlight w:val="none"/>
                <w:lang w:eastAsia="zh-CN"/>
              </w:rPr>
              <w:t>进行</w:t>
            </w:r>
            <w:r>
              <w:rPr>
                <w:rFonts w:hint="eastAsia" w:ascii="Times New Roman" w:hAnsi="Times New Roman"/>
                <w:b/>
                <w:color w:val="auto"/>
                <w:sz w:val="24"/>
                <w:szCs w:val="20"/>
                <w:highlight w:val="none"/>
              </w:rPr>
              <w:t>公开招标，以</w:t>
            </w:r>
            <w:r>
              <w:rPr>
                <w:rFonts w:hint="eastAsia" w:ascii="Times New Roman" w:hAnsi="Times New Roman"/>
                <w:b/>
                <w:color w:val="auto"/>
                <w:sz w:val="24"/>
                <w:szCs w:val="20"/>
                <w:highlight w:val="none"/>
                <w:lang w:eastAsia="zh-CN"/>
              </w:rPr>
              <w:t>投标</w:t>
            </w:r>
            <w:r>
              <w:rPr>
                <w:rFonts w:hint="eastAsia" w:ascii="Times New Roman" w:hAnsi="Times New Roman"/>
                <w:b/>
                <w:color w:val="auto"/>
                <w:sz w:val="24"/>
                <w:szCs w:val="20"/>
                <w:highlight w:val="none"/>
              </w:rPr>
              <w:t>供应商不足三家导致招标失败。根据《政府采购非招标采购方式管理办法》第二十七条规定，且经杭州市余杭区财政局同意，邀请在公开招标过程中提交投标文件的两家单位（浙江德方智能科技有限公司、浙江招天下招投标交易平台有限公司）进行竞争性谈判采购。</w:t>
            </w:r>
          </w:p>
        </w:tc>
      </w:tr>
    </w:tbl>
    <w:p>
      <w:pPr>
        <w:adjustRightInd w:val="0"/>
        <w:snapToGrid w:val="0"/>
        <w:spacing w:line="440" w:lineRule="exact"/>
        <w:ind w:firstLine="96" w:firstLineChars="40"/>
        <w:jc w:val="center"/>
        <w:rPr>
          <w:rFonts w:ascii="宋体" w:hAnsi="宋体"/>
          <w:b/>
          <w:bCs/>
          <w:color w:val="auto"/>
          <w:sz w:val="24"/>
          <w:highlight w:val="none"/>
        </w:rPr>
      </w:pPr>
      <w:r>
        <w:rPr>
          <w:rFonts w:ascii="宋体" w:hAnsi="宋体"/>
          <w:b/>
          <w:bCs/>
          <w:color w:val="auto"/>
          <w:sz w:val="24"/>
          <w:highlight w:val="none"/>
        </w:rPr>
        <w:br w:type="page"/>
      </w:r>
      <w:r>
        <w:rPr>
          <w:rFonts w:hint="eastAsia" w:ascii="宋体" w:hAnsi="宋体"/>
          <w:b/>
          <w:bCs/>
          <w:color w:val="auto"/>
          <w:sz w:val="24"/>
          <w:highlight w:val="none"/>
        </w:rPr>
        <w:t>第一节 供应商须知之通用条款</w:t>
      </w:r>
    </w:p>
    <w:p>
      <w:pPr>
        <w:adjustRightInd w:val="0"/>
        <w:snapToGrid w:val="0"/>
        <w:spacing w:line="440" w:lineRule="exact"/>
        <w:rPr>
          <w:rFonts w:ascii="宋体" w:hAnsi="宋体"/>
          <w:b/>
          <w:color w:val="auto"/>
          <w:sz w:val="24"/>
          <w:highlight w:val="none"/>
        </w:rPr>
      </w:pPr>
      <w:r>
        <w:rPr>
          <w:rFonts w:hint="eastAsia" w:ascii="宋体" w:hAnsi="宋体"/>
          <w:b/>
          <w:color w:val="auto"/>
          <w:sz w:val="24"/>
          <w:highlight w:val="none"/>
        </w:rPr>
        <w:t>1、适用范围</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本采购文件适用于本次竞争性谈判采购所叙述的采购项目。</w:t>
      </w:r>
    </w:p>
    <w:p>
      <w:pPr>
        <w:adjustRightInd w:val="0"/>
        <w:snapToGrid w:val="0"/>
        <w:spacing w:line="440" w:lineRule="exact"/>
        <w:rPr>
          <w:rFonts w:ascii="宋体" w:hAnsi="宋体"/>
          <w:b/>
          <w:color w:val="auto"/>
          <w:sz w:val="24"/>
          <w:highlight w:val="none"/>
        </w:rPr>
      </w:pPr>
      <w:r>
        <w:rPr>
          <w:rFonts w:hint="eastAsia" w:ascii="宋体" w:hAnsi="宋体"/>
          <w:b/>
          <w:color w:val="auto"/>
          <w:sz w:val="24"/>
          <w:highlight w:val="none"/>
        </w:rPr>
        <w:t>2、定义</w:t>
      </w:r>
    </w:p>
    <w:p>
      <w:pPr>
        <w:spacing w:line="360" w:lineRule="auto"/>
        <w:ind w:firstLine="480" w:firstLineChars="200"/>
        <w:rPr>
          <w:color w:val="auto"/>
          <w:sz w:val="24"/>
          <w:szCs w:val="24"/>
          <w:highlight w:val="none"/>
        </w:rPr>
      </w:pPr>
      <w:r>
        <w:rPr>
          <w:rFonts w:hint="eastAsia" w:ascii="宋体" w:hAnsi="宋体"/>
          <w:color w:val="auto"/>
          <w:sz w:val="24"/>
          <w:highlight w:val="none"/>
        </w:rPr>
        <w:t>2.1、“采购代理机构”系指</w:t>
      </w:r>
      <w:r>
        <w:rPr>
          <w:rFonts w:hint="eastAsia"/>
          <w:color w:val="auto"/>
          <w:sz w:val="24"/>
          <w:szCs w:val="24"/>
          <w:highlight w:val="none"/>
        </w:rPr>
        <w:t>按政府采购有关规定，受采购单位委托，组织本次采购</w:t>
      </w:r>
      <w:r>
        <w:rPr>
          <w:rFonts w:hint="eastAsia" w:ascii="宋体" w:hAnsi="宋体"/>
          <w:color w:val="auto"/>
          <w:sz w:val="24"/>
          <w:highlight w:val="none"/>
        </w:rPr>
        <w:t>的杭州市公共资源交易中心余杭分中心</w:t>
      </w:r>
      <w:r>
        <w:rPr>
          <w:rFonts w:hint="eastAsia"/>
          <w:color w:val="auto"/>
          <w:sz w:val="24"/>
          <w:szCs w:val="24"/>
          <w:highlight w:val="none"/>
        </w:rPr>
        <w:t>。</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2.2、“采购人”系指按政府采购有关规定委托采购项目的采购单位。</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2.3、“谈判</w:t>
      </w:r>
      <w:r>
        <w:rPr>
          <w:rFonts w:hint="eastAsia"/>
          <w:color w:val="auto"/>
          <w:sz w:val="24"/>
          <w:szCs w:val="24"/>
          <w:highlight w:val="none"/>
        </w:rPr>
        <w:t>响应方</w:t>
      </w:r>
      <w:r>
        <w:rPr>
          <w:rFonts w:hint="eastAsia" w:ascii="宋体" w:hAnsi="宋体"/>
          <w:color w:val="auto"/>
          <w:sz w:val="24"/>
          <w:highlight w:val="none"/>
        </w:rPr>
        <w:t>”</w:t>
      </w:r>
      <w:r>
        <w:rPr>
          <w:rFonts w:hint="eastAsia"/>
          <w:color w:val="auto"/>
          <w:sz w:val="24"/>
          <w:szCs w:val="24"/>
          <w:highlight w:val="none"/>
        </w:rPr>
        <w:t xml:space="preserve"> 系指向采购代理机构递交响应文件的供应商</w:t>
      </w:r>
      <w:r>
        <w:rPr>
          <w:rFonts w:hint="eastAsia" w:ascii="宋体" w:hAnsi="宋体"/>
          <w:color w:val="auto"/>
          <w:sz w:val="24"/>
          <w:highlight w:val="none"/>
        </w:rPr>
        <w:t>。</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2.4、“书面形式”包括信函、传真等。</w:t>
      </w:r>
    </w:p>
    <w:p>
      <w:pPr>
        <w:adjustRightInd w:val="0"/>
        <w:snapToGrid w:val="0"/>
        <w:spacing w:line="440" w:lineRule="exact"/>
        <w:rPr>
          <w:rFonts w:ascii="宋体" w:hAnsi="宋体"/>
          <w:color w:val="auto"/>
          <w:sz w:val="24"/>
          <w:highlight w:val="none"/>
        </w:rPr>
      </w:pPr>
      <w:r>
        <w:rPr>
          <w:rFonts w:hint="eastAsia" w:ascii="宋体" w:hAnsi="宋体"/>
          <w:b/>
          <w:color w:val="auto"/>
          <w:sz w:val="24"/>
          <w:highlight w:val="none"/>
        </w:rPr>
        <w:t>3、采购方式：</w:t>
      </w:r>
      <w:r>
        <w:rPr>
          <w:rFonts w:hint="eastAsia" w:ascii="宋体" w:hAnsi="宋体"/>
          <w:color w:val="auto"/>
          <w:sz w:val="24"/>
          <w:highlight w:val="none"/>
        </w:rPr>
        <w:t>竞争性谈判。</w:t>
      </w:r>
    </w:p>
    <w:p>
      <w:pPr>
        <w:adjustRightInd w:val="0"/>
        <w:snapToGrid w:val="0"/>
        <w:spacing w:line="440" w:lineRule="exact"/>
        <w:rPr>
          <w:rFonts w:ascii="宋体" w:hAnsi="宋体"/>
          <w:b/>
          <w:color w:val="auto"/>
          <w:sz w:val="24"/>
          <w:highlight w:val="none"/>
        </w:rPr>
      </w:pPr>
      <w:r>
        <w:rPr>
          <w:rFonts w:hint="eastAsia" w:ascii="宋体" w:hAnsi="宋体"/>
          <w:b/>
          <w:color w:val="auto"/>
          <w:sz w:val="24"/>
          <w:highlight w:val="none"/>
        </w:rPr>
        <w:t>4、谈判响应方</w:t>
      </w:r>
      <w:r>
        <w:rPr>
          <w:rFonts w:hint="eastAsia" w:ascii="宋体" w:hAnsi="宋体" w:cs="宋体"/>
          <w:b/>
          <w:color w:val="auto"/>
          <w:sz w:val="24"/>
          <w:highlight w:val="none"/>
        </w:rPr>
        <w:t>代表:</w:t>
      </w:r>
      <w:r>
        <w:rPr>
          <w:rFonts w:hint="eastAsia" w:ascii="宋体" w:hAnsi="宋体" w:cs="宋体"/>
          <w:b/>
          <w:color w:val="auto"/>
          <w:kern w:val="0"/>
          <w:sz w:val="24"/>
          <w:highlight w:val="none"/>
        </w:rPr>
        <w:t>应当是响应方在职正式职工，如响应方代表是法定代表人，法定代表人应</w:t>
      </w:r>
      <w:r>
        <w:rPr>
          <w:rFonts w:hint="eastAsia" w:ascii="宋体" w:hAnsi="宋体" w:cs="宋体"/>
          <w:b/>
          <w:color w:val="auto"/>
          <w:sz w:val="24"/>
          <w:highlight w:val="none"/>
        </w:rPr>
        <w:t>携带本人有效身份证件；如</w:t>
      </w:r>
      <w:r>
        <w:rPr>
          <w:rFonts w:hint="eastAsia" w:ascii="宋体" w:hAnsi="宋体"/>
          <w:b/>
          <w:color w:val="auto"/>
          <w:sz w:val="24"/>
          <w:highlight w:val="none"/>
        </w:rPr>
        <w:t>谈判响应方</w:t>
      </w:r>
      <w:r>
        <w:rPr>
          <w:rFonts w:hint="eastAsia" w:ascii="宋体" w:hAnsi="宋体" w:cs="宋体"/>
          <w:b/>
          <w:color w:val="auto"/>
          <w:sz w:val="24"/>
          <w:highlight w:val="none"/>
        </w:rPr>
        <w:t>代表不是法定代表人，须携带本人有效身份证件并出具法定代表人授权委托书、同时在响应文件中提供其在本单位</w:t>
      </w:r>
      <w:r>
        <w:rPr>
          <w:rFonts w:hint="eastAsia" w:ascii="宋体" w:hAnsi="宋体" w:cs="宋体"/>
          <w:b/>
          <w:color w:val="auto"/>
          <w:sz w:val="24"/>
          <w:highlight w:val="none"/>
          <w:lang w:eastAsia="zh-CN"/>
        </w:rPr>
        <w:t>近三个月（</w:t>
      </w:r>
      <w:r>
        <w:rPr>
          <w:rFonts w:hint="eastAsia" w:ascii="宋体" w:hAnsi="宋体" w:cs="宋体"/>
          <w:b/>
          <w:color w:val="auto"/>
          <w:sz w:val="24"/>
          <w:highlight w:val="none"/>
          <w:lang w:val="en-US" w:eastAsia="zh-CN"/>
        </w:rPr>
        <w:t>2019年6</w:t>
      </w:r>
      <w:r>
        <w:rPr>
          <w:rFonts w:hint="eastAsia" w:ascii="宋体" w:hAnsi="宋体" w:cs="宋体"/>
          <w:b/>
          <w:color w:val="auto"/>
          <w:sz w:val="24"/>
          <w:highlight w:val="none"/>
          <w:lang w:eastAsia="zh-CN"/>
        </w:rPr>
        <w:t>月、</w:t>
      </w:r>
      <w:r>
        <w:rPr>
          <w:rFonts w:hint="eastAsia" w:ascii="宋体" w:hAnsi="宋体" w:cs="宋体"/>
          <w:b/>
          <w:color w:val="auto"/>
          <w:sz w:val="24"/>
          <w:highlight w:val="none"/>
          <w:lang w:val="en-US" w:eastAsia="zh-CN"/>
        </w:rPr>
        <w:t>7</w:t>
      </w:r>
      <w:r>
        <w:rPr>
          <w:rFonts w:hint="eastAsia" w:ascii="宋体" w:hAnsi="宋体" w:cs="宋体"/>
          <w:b/>
          <w:color w:val="auto"/>
          <w:sz w:val="24"/>
          <w:highlight w:val="none"/>
          <w:lang w:eastAsia="zh-CN"/>
        </w:rPr>
        <w:t>月、</w:t>
      </w:r>
      <w:r>
        <w:rPr>
          <w:rFonts w:hint="eastAsia" w:ascii="宋体" w:hAnsi="宋体" w:cs="宋体"/>
          <w:b/>
          <w:color w:val="auto"/>
          <w:sz w:val="24"/>
          <w:highlight w:val="none"/>
          <w:lang w:val="en-US" w:eastAsia="zh-CN"/>
        </w:rPr>
        <w:t>8</w:t>
      </w:r>
      <w:r>
        <w:rPr>
          <w:rFonts w:hint="eastAsia" w:ascii="宋体" w:hAnsi="宋体" w:cs="宋体"/>
          <w:b/>
          <w:color w:val="auto"/>
          <w:sz w:val="24"/>
          <w:highlight w:val="none"/>
          <w:lang w:eastAsia="zh-CN"/>
        </w:rPr>
        <w:t>月）</w:t>
      </w:r>
      <w:r>
        <w:rPr>
          <w:rFonts w:hint="eastAsia" w:ascii="宋体" w:hAnsi="宋体" w:cs="宋体"/>
          <w:b/>
          <w:color w:val="auto"/>
          <w:sz w:val="24"/>
          <w:highlight w:val="none"/>
        </w:rPr>
        <w:t>社保缴纳证明（加盖社保部门公章）。授权委托书必须按照“第五部分 响应文件格式”填写，如有不符，授权无效，将会导致投标无效。</w:t>
      </w:r>
    </w:p>
    <w:p>
      <w:pPr>
        <w:adjustRightInd w:val="0"/>
        <w:snapToGrid w:val="0"/>
        <w:spacing w:line="440" w:lineRule="exact"/>
        <w:rPr>
          <w:rFonts w:ascii="宋体" w:hAnsi="宋体"/>
          <w:color w:val="auto"/>
          <w:sz w:val="24"/>
          <w:highlight w:val="none"/>
        </w:rPr>
      </w:pPr>
      <w:r>
        <w:rPr>
          <w:rFonts w:hint="eastAsia" w:ascii="宋体" w:hAnsi="宋体"/>
          <w:b/>
          <w:color w:val="auto"/>
          <w:sz w:val="24"/>
          <w:highlight w:val="none"/>
        </w:rPr>
        <w:t>5、</w:t>
      </w:r>
      <w:r>
        <w:rPr>
          <w:rFonts w:hint="eastAsia"/>
          <w:b/>
          <w:color w:val="auto"/>
          <w:sz w:val="24"/>
          <w:szCs w:val="24"/>
          <w:highlight w:val="none"/>
        </w:rPr>
        <w:t>响应采购费用</w:t>
      </w:r>
      <w:r>
        <w:rPr>
          <w:rFonts w:hint="eastAsia" w:ascii="宋体" w:hAnsi="宋体"/>
          <w:b/>
          <w:color w:val="auto"/>
          <w:sz w:val="24"/>
          <w:highlight w:val="none"/>
        </w:rPr>
        <w:t>：</w:t>
      </w:r>
      <w:r>
        <w:rPr>
          <w:rFonts w:hint="eastAsia" w:ascii="宋体" w:hAnsi="宋体"/>
          <w:color w:val="auto"/>
          <w:sz w:val="24"/>
          <w:highlight w:val="none"/>
        </w:rPr>
        <w:t>谈判响应方需自行承担涉及与</w:t>
      </w:r>
      <w:r>
        <w:rPr>
          <w:rFonts w:hint="eastAsia"/>
          <w:color w:val="auto"/>
          <w:sz w:val="24"/>
          <w:szCs w:val="24"/>
          <w:highlight w:val="none"/>
        </w:rPr>
        <w:t>本次采购有关</w:t>
      </w:r>
      <w:r>
        <w:rPr>
          <w:rFonts w:hint="eastAsia" w:ascii="宋体" w:hAnsi="宋体"/>
          <w:color w:val="auto"/>
          <w:sz w:val="24"/>
          <w:highlight w:val="none"/>
        </w:rPr>
        <w:t>的一切费用。</w:t>
      </w:r>
    </w:p>
    <w:p>
      <w:pPr>
        <w:adjustRightInd w:val="0"/>
        <w:snapToGrid w:val="0"/>
        <w:spacing w:line="440" w:lineRule="exact"/>
        <w:rPr>
          <w:rFonts w:ascii="宋体" w:hAnsi="宋体"/>
          <w:b/>
          <w:bCs/>
          <w:color w:val="auto"/>
          <w:sz w:val="24"/>
          <w:highlight w:val="none"/>
        </w:rPr>
      </w:pPr>
      <w:r>
        <w:rPr>
          <w:rFonts w:hint="eastAsia" w:ascii="宋体" w:hAnsi="宋体"/>
          <w:b/>
          <w:bCs/>
          <w:color w:val="auto"/>
          <w:sz w:val="24"/>
          <w:highlight w:val="none"/>
        </w:rPr>
        <w:t>6、特别说明：</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6.1、供应商应仔细阅读采购文件的所有内容，按照采购文件的要求提交响应文件，并对所提供的全部资料的真实性承担法律责任。</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6.2、单位负责人为同一人或者存在直接控股、管理关系的不同供应商，不得参加同一合同项下的政府采购活动。</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6.3、持“五证合一”新版营业执照的供应商不要求提供组织机构代码证、社保登记证、税务登记证；持“三证合一”新版营业执照的供应商不要求提供组织机构代码证、税务登记证；个体工商户不要求提供组织机构代码证，持“两证整合” 新版营业执照的个体工商户不要求提供税务登记证。</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6.4、供应商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color w:val="auto"/>
          <w:sz w:val="24"/>
          <w:highlight w:val="none"/>
          <w:lang w:val="zh-CN"/>
        </w:rPr>
        <w:t>供应商</w:t>
      </w:r>
      <w:r>
        <w:rPr>
          <w:rFonts w:hint="eastAsia" w:ascii="宋体" w:hAnsi="宋体"/>
          <w:color w:val="auto"/>
          <w:sz w:val="24"/>
          <w:highlight w:val="none"/>
        </w:rPr>
        <w:t>应承担相应后果，</w:t>
      </w:r>
      <w:r>
        <w:rPr>
          <w:rFonts w:hint="eastAsia" w:ascii="宋体" w:hAnsi="宋体"/>
          <w:color w:val="auto"/>
          <w:sz w:val="24"/>
          <w:highlight w:val="none"/>
          <w:lang w:val="zh-CN"/>
        </w:rPr>
        <w:t>并负责赔偿。</w:t>
      </w:r>
      <w:r>
        <w:rPr>
          <w:rFonts w:hint="eastAsia" w:ascii="宋体" w:hAnsi="宋体"/>
          <w:color w:val="auto"/>
          <w:sz w:val="24"/>
          <w:highlight w:val="none"/>
        </w:rPr>
        <w:t>供应商为执行本项目合同而提供的技术资料等归采购人所有。</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olor w:val="auto"/>
          <w:sz w:val="24"/>
          <w:highlight w:val="none"/>
        </w:rPr>
        <w:t>6.5、本采购文件中所指的有效身份证件指的是</w:t>
      </w:r>
      <w:r>
        <w:rPr>
          <w:rFonts w:hint="eastAsia" w:ascii="宋体" w:hAnsi="宋体" w:cs="宋体"/>
          <w:color w:val="auto"/>
          <w:sz w:val="24"/>
          <w:highlight w:val="none"/>
        </w:rPr>
        <w:t>居民身份证、临时居民身份证等，有期限规定的证件在有效期内方为有效。</w:t>
      </w:r>
    </w:p>
    <w:p>
      <w:pPr>
        <w:adjustRightInd w:val="0"/>
        <w:snapToGrid w:val="0"/>
        <w:spacing w:line="440" w:lineRule="exact"/>
        <w:ind w:firstLine="482" w:firstLineChars="200"/>
        <w:rPr>
          <w:rFonts w:ascii="宋体" w:hAnsi="宋体"/>
          <w:b/>
          <w:color w:val="auto"/>
          <w:sz w:val="24"/>
          <w:highlight w:val="none"/>
        </w:rPr>
      </w:pPr>
      <w:r>
        <w:rPr>
          <w:rFonts w:hint="eastAsia" w:ascii="宋体" w:hAnsi="宋体"/>
          <w:b/>
          <w:color w:val="auto"/>
          <w:sz w:val="24"/>
          <w:highlight w:val="none"/>
        </w:rPr>
        <w:t>7、采购文件的澄清与修改</w:t>
      </w:r>
    </w:p>
    <w:p>
      <w:pPr>
        <w:adjustRightInd w:val="0"/>
        <w:snapToGrid w:val="0"/>
        <w:spacing w:line="440" w:lineRule="exact"/>
        <w:ind w:firstLine="480" w:firstLineChars="200"/>
        <w:rPr>
          <w:rFonts w:hint="eastAsia" w:ascii="宋体" w:hAnsi="宋体" w:cs="宋体"/>
          <w:color w:val="auto"/>
          <w:sz w:val="24"/>
          <w:highlight w:val="none"/>
        </w:rPr>
      </w:pPr>
      <w:r>
        <w:rPr>
          <w:rFonts w:hint="eastAsia" w:ascii="宋体" w:hAnsi="宋体"/>
          <w:color w:val="auto"/>
          <w:sz w:val="24"/>
          <w:highlight w:val="none"/>
        </w:rPr>
        <w:t>7.1、</w:t>
      </w:r>
      <w:r>
        <w:rPr>
          <w:rFonts w:hint="eastAsia" w:ascii="宋体" w:hAnsi="宋体"/>
          <w:bCs/>
          <w:color w:val="auto"/>
          <w:sz w:val="24"/>
          <w:highlight w:val="none"/>
        </w:rPr>
        <w:t>供应商应认真阅读本采购文件，发现其中有误或有不合理要求的，供应商必须以书面形式要求采购人、采购代理机构澄清</w:t>
      </w:r>
      <w:r>
        <w:rPr>
          <w:rFonts w:hint="eastAsia" w:ascii="宋体" w:hAnsi="宋体"/>
          <w:color w:val="auto"/>
          <w:sz w:val="24"/>
          <w:highlight w:val="none"/>
        </w:rPr>
        <w:t>。采购人、采购代理机构对已发出的采购文件进行必要澄清、答复、修改或补充的，应当在采购信息发布媒体上发布更正公告</w:t>
      </w:r>
      <w:r>
        <w:rPr>
          <w:rFonts w:hint="eastAsia" w:ascii="宋体" w:hAnsi="宋体" w:cs="宋体"/>
          <w:color w:val="auto"/>
          <w:sz w:val="24"/>
          <w:highlight w:val="none"/>
          <w:lang w:eastAsia="zh-CN"/>
        </w:rPr>
        <w:t>（</w:t>
      </w:r>
      <w:r>
        <w:rPr>
          <w:rFonts w:hint="eastAsia" w:ascii="宋体" w:hAnsi="宋体" w:cs="宋体"/>
          <w:color w:val="auto"/>
          <w:sz w:val="24"/>
          <w:highlight w:val="none"/>
        </w:rPr>
        <w:t>更正公告</w:t>
      </w:r>
      <w:r>
        <w:rPr>
          <w:rFonts w:hint="eastAsia" w:ascii="宋体" w:hAnsi="宋体" w:cs="宋体"/>
          <w:color w:val="auto"/>
          <w:sz w:val="24"/>
          <w:highlight w:val="none"/>
          <w:lang w:eastAsia="zh-CN"/>
        </w:rPr>
        <w:t>发布网站：</w:t>
      </w:r>
      <w:r>
        <w:rPr>
          <w:rFonts w:hint="eastAsia" w:ascii="宋体" w:hAnsi="宋体" w:cs="宋体"/>
          <w:color w:val="auto"/>
          <w:sz w:val="24"/>
          <w:highlight w:val="none"/>
        </w:rPr>
        <w:t>浙江政府采购网、杭州市余杭区公共资源交易网、杭州余杭政府门户网站</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adjustRightInd w:val="0"/>
        <w:snapToGrid w:val="0"/>
        <w:spacing w:line="440" w:lineRule="exact"/>
        <w:ind w:firstLine="480" w:firstLineChars="200"/>
        <w:rPr>
          <w:rFonts w:hint="eastAsia" w:ascii="宋体" w:hAnsi="宋体" w:cs="宋体"/>
          <w:color w:val="auto"/>
          <w:sz w:val="24"/>
          <w:highlight w:val="none"/>
        </w:rPr>
      </w:pPr>
      <w:r>
        <w:rPr>
          <w:rFonts w:hint="eastAsia" w:ascii="宋体" w:hAnsi="宋体"/>
          <w:color w:val="auto"/>
          <w:sz w:val="24"/>
          <w:highlight w:val="none"/>
        </w:rPr>
        <w:t>7.</w:t>
      </w:r>
      <w:r>
        <w:rPr>
          <w:rFonts w:hint="eastAsia" w:ascii="宋体" w:hAnsi="宋体"/>
          <w:color w:val="auto"/>
          <w:sz w:val="24"/>
          <w:highlight w:val="none"/>
          <w:lang w:val="en-US" w:eastAsia="zh-CN"/>
        </w:rPr>
        <w:t>2</w:t>
      </w:r>
      <w:r>
        <w:rPr>
          <w:rFonts w:hint="eastAsia" w:ascii="宋体" w:hAnsi="宋体"/>
          <w:color w:val="auto"/>
          <w:sz w:val="24"/>
          <w:highlight w:val="none"/>
        </w:rPr>
        <w:t>、采购文件澄清、答复、修改、补充的内容为采购文件的组成部分。当采购文件与采购文件的答复、澄清、修改、补充通知就同一内容的表述不一致时，</w:t>
      </w:r>
      <w:r>
        <w:rPr>
          <w:rFonts w:hint="eastAsia" w:ascii="宋体" w:hAnsi="宋体" w:cs="宋体"/>
          <w:color w:val="auto"/>
          <w:sz w:val="24"/>
          <w:highlight w:val="none"/>
        </w:rPr>
        <w:t>以最后发出的</w:t>
      </w:r>
      <w:r>
        <w:rPr>
          <w:rFonts w:hint="eastAsia" w:ascii="宋体" w:hAnsi="宋体" w:cs="宋体"/>
          <w:color w:val="auto"/>
          <w:sz w:val="24"/>
          <w:highlight w:val="none"/>
          <w:lang w:eastAsia="zh-CN"/>
        </w:rPr>
        <w:t>更正公告</w:t>
      </w:r>
      <w:r>
        <w:rPr>
          <w:rFonts w:hint="eastAsia" w:ascii="宋体" w:hAnsi="宋体" w:cs="宋体"/>
          <w:color w:val="auto"/>
          <w:sz w:val="24"/>
          <w:highlight w:val="none"/>
        </w:rPr>
        <w:t>为准。</w:t>
      </w:r>
    </w:p>
    <w:p>
      <w:pPr>
        <w:spacing w:line="440" w:lineRule="exact"/>
        <w:rPr>
          <w:rFonts w:ascii="宋体" w:hAnsi="宋体"/>
          <w:b/>
          <w:color w:val="auto"/>
          <w:sz w:val="24"/>
          <w:highlight w:val="none"/>
        </w:rPr>
      </w:pPr>
      <w:r>
        <w:rPr>
          <w:rFonts w:hint="eastAsia" w:ascii="宋体" w:hAnsi="宋体"/>
          <w:b/>
          <w:color w:val="auto"/>
          <w:sz w:val="24"/>
          <w:highlight w:val="none"/>
        </w:rPr>
        <w:t>8、响应文件的语言及计量</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8.1、响应文件以及供应商与采购人、采购代理机构就有关采购事宜的所有来往函电，均应以中文汉语书写。除签名、盖章、专用名称等特殊情形外，以中文汉语以外的文字表述的响应文件视同未提供。</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8.2、响应文件中如附有外文资料，必须逐一对应翻译成中文并加盖谈判响应方公章后附在相关外文资料后面，否则外文资料不予认可。翻译的中文资料与外文资料不符的，均不予认可。翻译严重错误的，将视同提供虚假资料。</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8.3、计量单位，采购文件已有明确规定的，使用采购文件规定的计量单位；采购文件没有规定的，应采用中华人民共和国法定计量单位（货币单位：人民币元），否则视同未响应。</w:t>
      </w:r>
    </w:p>
    <w:p>
      <w:pPr>
        <w:pStyle w:val="12"/>
        <w:spacing w:line="440" w:lineRule="exact"/>
        <w:ind w:firstLine="480" w:firstLineChars="200"/>
        <w:rPr>
          <w:rFonts w:hAnsi="宋体"/>
          <w:color w:val="auto"/>
          <w:sz w:val="24"/>
          <w:szCs w:val="24"/>
          <w:highlight w:val="none"/>
        </w:rPr>
      </w:pPr>
      <w:r>
        <w:rPr>
          <w:rFonts w:hint="eastAsia" w:hAnsi="宋体"/>
          <w:color w:val="auto"/>
          <w:sz w:val="24"/>
          <w:highlight w:val="none"/>
        </w:rPr>
        <w:t>8.</w:t>
      </w:r>
      <w:r>
        <w:rPr>
          <w:rFonts w:hint="eastAsia" w:hAnsi="宋体"/>
          <w:color w:val="auto"/>
          <w:sz w:val="24"/>
          <w:szCs w:val="24"/>
          <w:highlight w:val="none"/>
        </w:rPr>
        <w:t>4、响应文件中优惠条件事项不能包括采购项目本身所包括涉及的采购事项。谈判响应方不能以“赠送、赠予”等任何名义提供货物和服务以规避采购文件的约束。</w:t>
      </w:r>
    </w:p>
    <w:p>
      <w:pPr>
        <w:adjustRightInd w:val="0"/>
        <w:snapToGrid w:val="0"/>
        <w:spacing w:line="440" w:lineRule="exact"/>
        <w:rPr>
          <w:rFonts w:ascii="宋体" w:hAnsi="宋体"/>
          <w:b/>
          <w:color w:val="auto"/>
          <w:sz w:val="24"/>
          <w:szCs w:val="24"/>
          <w:highlight w:val="none"/>
        </w:rPr>
      </w:pPr>
      <w:r>
        <w:rPr>
          <w:rFonts w:hint="eastAsia" w:ascii="宋体" w:hAnsi="宋体"/>
          <w:b/>
          <w:color w:val="auto"/>
          <w:sz w:val="24"/>
          <w:szCs w:val="24"/>
          <w:highlight w:val="none"/>
        </w:rPr>
        <w:t>9、响应文件组成详见“第二节 供应商须知之专用条款”中相关条款。</w:t>
      </w:r>
    </w:p>
    <w:p>
      <w:pPr>
        <w:pStyle w:val="34"/>
        <w:spacing w:before="0" w:line="440" w:lineRule="exact"/>
        <w:ind w:firstLine="0" w:firstLineChars="0"/>
        <w:rPr>
          <w:rFonts w:ascii="宋体" w:hAnsi="宋体"/>
          <w:b/>
          <w:color w:val="auto"/>
          <w:szCs w:val="24"/>
          <w:highlight w:val="none"/>
        </w:rPr>
      </w:pPr>
      <w:r>
        <w:rPr>
          <w:rFonts w:hint="eastAsia" w:ascii="宋体" w:hAnsi="宋体"/>
          <w:b/>
          <w:color w:val="auto"/>
          <w:szCs w:val="24"/>
          <w:highlight w:val="none"/>
        </w:rPr>
        <w:t>10、 响应有效期</w:t>
      </w:r>
    </w:p>
    <w:p>
      <w:pPr>
        <w:pStyle w:val="34"/>
        <w:spacing w:before="0" w:line="440" w:lineRule="exact"/>
        <w:ind w:firstLine="480"/>
        <w:rPr>
          <w:rFonts w:ascii="宋体" w:hAnsi="宋体"/>
          <w:color w:val="auto"/>
          <w:highlight w:val="none"/>
        </w:rPr>
      </w:pPr>
      <w:r>
        <w:rPr>
          <w:rFonts w:hint="eastAsia" w:ascii="宋体" w:hAnsi="宋体"/>
          <w:color w:val="auto"/>
          <w:highlight w:val="none"/>
        </w:rPr>
        <w:t>10.1、响应文件递交后60天内有效。</w:t>
      </w:r>
    </w:p>
    <w:p>
      <w:pPr>
        <w:pStyle w:val="34"/>
        <w:spacing w:before="0" w:line="440" w:lineRule="exact"/>
        <w:ind w:firstLine="480"/>
        <w:rPr>
          <w:rFonts w:ascii="宋体" w:hAnsi="宋体"/>
          <w:color w:val="auto"/>
          <w:highlight w:val="none"/>
        </w:rPr>
      </w:pPr>
      <w:r>
        <w:rPr>
          <w:rFonts w:hint="eastAsia" w:ascii="宋体" w:hAnsi="宋体"/>
          <w:color w:val="auto"/>
          <w:highlight w:val="none"/>
        </w:rPr>
        <w:t>10.2、在原定响应有效期之前，如果出现特殊情况，采购代理机构可以以书面形式通知供应商延长响应有效期。</w:t>
      </w:r>
    </w:p>
    <w:p>
      <w:pPr>
        <w:pStyle w:val="34"/>
        <w:spacing w:before="0" w:line="440" w:lineRule="exact"/>
        <w:ind w:firstLine="0" w:firstLineChars="0"/>
        <w:rPr>
          <w:rFonts w:ascii="宋体" w:hAnsi="宋体"/>
          <w:b/>
          <w:color w:val="auto"/>
          <w:highlight w:val="none"/>
        </w:rPr>
      </w:pPr>
      <w:r>
        <w:rPr>
          <w:rFonts w:hint="eastAsia" w:ascii="宋体" w:hAnsi="宋体"/>
          <w:b/>
          <w:color w:val="auto"/>
          <w:highlight w:val="none"/>
        </w:rPr>
        <w:t>11、 保证金</w:t>
      </w:r>
    </w:p>
    <w:p>
      <w:pPr>
        <w:pStyle w:val="34"/>
        <w:spacing w:before="0" w:line="440" w:lineRule="exact"/>
        <w:ind w:firstLine="0" w:firstLineChars="0"/>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lang w:eastAsia="zh-CN"/>
        </w:rPr>
        <w:t>本项目不收取投标保证金。</w:t>
      </w:r>
    </w:p>
    <w:p>
      <w:pPr>
        <w:pStyle w:val="34"/>
        <w:spacing w:before="0" w:line="440" w:lineRule="exact"/>
        <w:ind w:firstLine="0" w:firstLineChars="0"/>
        <w:rPr>
          <w:rFonts w:ascii="宋体" w:hAnsi="宋体"/>
          <w:b/>
          <w:color w:val="auto"/>
          <w:highlight w:val="none"/>
        </w:rPr>
      </w:pPr>
      <w:r>
        <w:rPr>
          <w:rFonts w:hint="eastAsia" w:ascii="宋体" w:hAnsi="宋体"/>
          <w:b/>
          <w:color w:val="auto"/>
          <w:highlight w:val="none"/>
        </w:rPr>
        <w:t>12、 响应文件的编制</w:t>
      </w:r>
    </w:p>
    <w:p>
      <w:pPr>
        <w:pStyle w:val="34"/>
        <w:spacing w:before="0" w:line="440" w:lineRule="exact"/>
        <w:ind w:firstLine="480"/>
        <w:rPr>
          <w:rFonts w:ascii="宋体" w:hAnsi="宋体"/>
          <w:color w:val="auto"/>
          <w:highlight w:val="none"/>
        </w:rPr>
      </w:pPr>
      <w:r>
        <w:rPr>
          <w:rFonts w:hint="eastAsia" w:ascii="宋体" w:hAnsi="宋体"/>
          <w:color w:val="auto"/>
          <w:highlight w:val="none"/>
        </w:rPr>
        <w:t>12.1、响应文件标识不清、编写不完整、编排混乱导致响应文件被误拆、误读、漏读或者查找不到相关内容的，责任由谈判响应方自行承担。</w:t>
      </w:r>
    </w:p>
    <w:p>
      <w:pPr>
        <w:pStyle w:val="34"/>
        <w:spacing w:before="0" w:line="440" w:lineRule="exact"/>
        <w:ind w:firstLine="480"/>
        <w:rPr>
          <w:rFonts w:ascii="宋体" w:hAnsi="宋体"/>
          <w:color w:val="auto"/>
          <w:highlight w:val="none"/>
        </w:rPr>
      </w:pPr>
      <w:r>
        <w:rPr>
          <w:rFonts w:hint="eastAsia" w:ascii="宋体" w:hAnsi="宋体"/>
          <w:color w:val="auto"/>
          <w:highlight w:val="none"/>
        </w:rPr>
        <w:t>12.2、 全套响应文件应无涂改和行间插字，除非这些删改是根据采购代理机构要求进行，或者是谈判响应方造成的必须修改的错误。所修改处须加盖谈判响应方公章或者法定代表人或授权代表签字或盖章，否则，修改处不予认可。响应文件因字迹潦草或表达不清所引起的后果由谈判响应方负责。</w:t>
      </w:r>
    </w:p>
    <w:p>
      <w:pPr>
        <w:pStyle w:val="34"/>
        <w:spacing w:before="0" w:line="440" w:lineRule="exact"/>
        <w:ind w:firstLine="480"/>
        <w:rPr>
          <w:rFonts w:hint="eastAsia" w:ascii="宋体" w:hAnsi="宋体"/>
          <w:color w:val="auto"/>
          <w:highlight w:val="none"/>
        </w:rPr>
      </w:pPr>
      <w:r>
        <w:rPr>
          <w:rFonts w:hint="eastAsia" w:ascii="宋体" w:hAnsi="宋体"/>
          <w:color w:val="auto"/>
          <w:highlight w:val="none"/>
        </w:rPr>
        <w:t>12.3、 响应文件提倡采用A4幅面双面打印，并按顺序统一编目编码装订成册。</w:t>
      </w:r>
    </w:p>
    <w:p>
      <w:pPr>
        <w:pStyle w:val="34"/>
        <w:spacing w:before="0" w:line="440" w:lineRule="exact"/>
        <w:ind w:firstLine="480"/>
        <w:rPr>
          <w:rFonts w:hint="eastAsia" w:ascii="宋体" w:hAnsi="宋体"/>
          <w:color w:val="auto"/>
          <w:highlight w:val="none"/>
        </w:rPr>
      </w:pPr>
      <w:r>
        <w:rPr>
          <w:rFonts w:hint="eastAsia" w:ascii="宋体" w:hAnsi="宋体" w:cs="宋体"/>
          <w:color w:val="auto"/>
          <w:highlight w:val="none"/>
          <w:lang w:val="en-US" w:eastAsia="zh-CN"/>
        </w:rPr>
        <w:t>12.4、供应商所递交的</w:t>
      </w:r>
      <w:r>
        <w:rPr>
          <w:rFonts w:hint="eastAsia" w:ascii="宋体" w:hAnsi="宋体" w:cs="宋体"/>
          <w:color w:val="auto"/>
          <w:highlight w:val="none"/>
          <w:lang w:eastAsia="zh-CN"/>
        </w:rPr>
        <w:t>响应</w:t>
      </w:r>
      <w:r>
        <w:rPr>
          <w:rFonts w:hint="eastAsia" w:ascii="宋体" w:hAnsi="宋体" w:cs="宋体"/>
          <w:color w:val="auto"/>
          <w:highlight w:val="none"/>
        </w:rPr>
        <w:t>文件</w:t>
      </w:r>
      <w:r>
        <w:rPr>
          <w:rFonts w:hint="eastAsia" w:ascii="宋体" w:hAnsi="宋体" w:cs="宋体"/>
          <w:color w:val="auto"/>
          <w:highlight w:val="none"/>
          <w:lang w:eastAsia="zh-CN"/>
        </w:rPr>
        <w:t>均</w:t>
      </w:r>
      <w:r>
        <w:rPr>
          <w:rFonts w:hint="eastAsia" w:ascii="宋体" w:hAnsi="宋体" w:cs="宋体"/>
          <w:color w:val="auto"/>
          <w:highlight w:val="none"/>
        </w:rPr>
        <w:t>必须采用胶订形式，不得采用活页装订方式（卡条、抽杆夹、订书机</w:t>
      </w:r>
      <w:r>
        <w:rPr>
          <w:rFonts w:hint="eastAsia" w:ascii="宋体" w:hAnsi="宋体" w:cs="宋体"/>
          <w:color w:val="auto"/>
          <w:highlight w:val="none"/>
          <w:lang w:eastAsia="zh-CN"/>
        </w:rPr>
        <w:t>及其他</w:t>
      </w:r>
      <w:r>
        <w:rPr>
          <w:rFonts w:hint="eastAsia" w:ascii="宋体" w:hAnsi="宋体" w:cs="宋体"/>
          <w:color w:val="auto"/>
          <w:highlight w:val="none"/>
        </w:rPr>
        <w:t>胶订以外</w:t>
      </w:r>
      <w:r>
        <w:rPr>
          <w:rFonts w:hint="eastAsia" w:ascii="宋体" w:hAnsi="宋体" w:cs="宋体"/>
          <w:color w:val="auto"/>
          <w:highlight w:val="none"/>
          <w:lang w:eastAsia="zh-CN"/>
        </w:rPr>
        <w:t>装订</w:t>
      </w:r>
      <w:r>
        <w:rPr>
          <w:rFonts w:hint="eastAsia" w:ascii="宋体" w:hAnsi="宋体" w:cs="宋体"/>
          <w:color w:val="auto"/>
          <w:highlight w:val="none"/>
        </w:rPr>
        <w:t>形式</w:t>
      </w:r>
      <w:r>
        <w:rPr>
          <w:rFonts w:hint="eastAsia" w:ascii="宋体" w:hAnsi="宋体" w:cs="宋体"/>
          <w:color w:val="auto"/>
          <w:highlight w:val="none"/>
          <w:lang w:eastAsia="zh-CN"/>
        </w:rPr>
        <w:t>均</w:t>
      </w:r>
      <w:r>
        <w:rPr>
          <w:rFonts w:hint="eastAsia" w:ascii="宋体" w:hAnsi="宋体" w:cs="宋体"/>
          <w:color w:val="auto"/>
          <w:highlight w:val="none"/>
        </w:rPr>
        <w:t>视为活页装订）</w:t>
      </w:r>
      <w:r>
        <w:rPr>
          <w:rFonts w:hint="eastAsia" w:ascii="宋体" w:hAnsi="宋体" w:cs="宋体"/>
          <w:color w:val="auto"/>
          <w:highlight w:val="none"/>
          <w:lang w:eastAsia="zh-CN"/>
        </w:rPr>
        <w:t>，否则，其响应将被视作无效。</w:t>
      </w:r>
    </w:p>
    <w:p>
      <w:pPr>
        <w:pStyle w:val="34"/>
        <w:spacing w:before="0" w:line="440" w:lineRule="exact"/>
        <w:ind w:firstLine="0" w:firstLineChars="0"/>
        <w:rPr>
          <w:rFonts w:ascii="宋体" w:hAnsi="宋体"/>
          <w:b/>
          <w:color w:val="auto"/>
          <w:highlight w:val="none"/>
        </w:rPr>
      </w:pPr>
      <w:r>
        <w:rPr>
          <w:rFonts w:hint="eastAsia" w:ascii="宋体" w:hAnsi="宋体"/>
          <w:b/>
          <w:color w:val="auto"/>
          <w:highlight w:val="none"/>
        </w:rPr>
        <w:t>13、响应文件的签署和份数</w:t>
      </w:r>
    </w:p>
    <w:p>
      <w:pPr>
        <w:pStyle w:val="34"/>
        <w:spacing w:before="0" w:line="440" w:lineRule="exact"/>
        <w:ind w:firstLine="480"/>
        <w:rPr>
          <w:rFonts w:ascii="宋体" w:hAnsi="宋体"/>
          <w:b/>
          <w:color w:val="auto"/>
          <w:highlight w:val="none"/>
        </w:rPr>
      </w:pPr>
      <w:r>
        <w:rPr>
          <w:rFonts w:hint="eastAsia" w:ascii="宋体" w:hAnsi="宋体"/>
          <w:color w:val="auto"/>
          <w:highlight w:val="none"/>
        </w:rPr>
        <w:t>13.1、供应商应按响应文件正本一份，副本三份编制并装订成册。响应文件封面上应注明“响应文件、正本/副本、项目名称、项目编号”等字样，</w:t>
      </w:r>
      <w:r>
        <w:rPr>
          <w:rFonts w:hint="eastAsia" w:ascii="宋体" w:hAnsi="宋体"/>
          <w:b/>
          <w:color w:val="auto"/>
          <w:highlight w:val="none"/>
        </w:rPr>
        <w:t>同时必须加盖单位公章。</w:t>
      </w:r>
      <w:r>
        <w:rPr>
          <w:rFonts w:hint="eastAsia" w:ascii="宋体" w:hAnsi="宋体"/>
          <w:color w:val="auto"/>
          <w:highlight w:val="none"/>
        </w:rPr>
        <w:t>一旦正本和副本有差异，以正本为准。</w:t>
      </w:r>
    </w:p>
    <w:p>
      <w:pPr>
        <w:pStyle w:val="34"/>
        <w:spacing w:before="0" w:line="440" w:lineRule="exact"/>
        <w:ind w:firstLine="480"/>
        <w:rPr>
          <w:rFonts w:ascii="宋体" w:hAnsi="宋体"/>
          <w:color w:val="auto"/>
          <w:highlight w:val="none"/>
        </w:rPr>
      </w:pPr>
      <w:r>
        <w:rPr>
          <w:rFonts w:hint="eastAsia" w:ascii="宋体" w:hAnsi="宋体"/>
          <w:color w:val="auto"/>
          <w:highlight w:val="none"/>
        </w:rPr>
        <w:t>13.2、响应文件的正本需打印或用不褪色的墨水填写，响应文件正本除“第二部分 供应商须知”中规定的可提供复印件外均须提供原件。副本为正本的复印件。</w:t>
      </w:r>
    </w:p>
    <w:p>
      <w:pPr>
        <w:pStyle w:val="34"/>
        <w:spacing w:before="0" w:line="440" w:lineRule="exact"/>
        <w:ind w:firstLine="480"/>
        <w:rPr>
          <w:rFonts w:ascii="宋体" w:hAnsi="宋体"/>
          <w:color w:val="auto"/>
          <w:highlight w:val="none"/>
        </w:rPr>
      </w:pPr>
      <w:r>
        <w:rPr>
          <w:rFonts w:hint="eastAsia" w:ascii="宋体" w:hAnsi="宋体"/>
          <w:color w:val="auto"/>
          <w:highlight w:val="none"/>
        </w:rPr>
        <w:t>13.3、响应文件须由谈判响应方在规定位置加盖单位公章并由法定代表人或法定代表人的授权代表签署，谈判响应方应写全称。</w:t>
      </w:r>
    </w:p>
    <w:p>
      <w:pPr>
        <w:pStyle w:val="34"/>
        <w:spacing w:before="0" w:line="440" w:lineRule="exact"/>
        <w:ind w:firstLine="0" w:firstLineChars="0"/>
        <w:rPr>
          <w:rFonts w:ascii="宋体" w:hAnsi="宋体"/>
          <w:b/>
          <w:color w:val="auto"/>
          <w:highlight w:val="none"/>
        </w:rPr>
      </w:pPr>
      <w:r>
        <w:rPr>
          <w:rFonts w:hint="eastAsia" w:ascii="宋体" w:hAnsi="宋体"/>
          <w:b/>
          <w:color w:val="auto"/>
          <w:highlight w:val="none"/>
        </w:rPr>
        <w:t>14、响应文件的包装和递交</w:t>
      </w:r>
    </w:p>
    <w:p>
      <w:pPr>
        <w:pStyle w:val="34"/>
        <w:spacing w:before="0" w:line="440" w:lineRule="exact"/>
        <w:ind w:firstLine="480"/>
        <w:rPr>
          <w:rFonts w:ascii="宋体" w:hAnsi="宋体"/>
          <w:color w:val="auto"/>
          <w:highlight w:val="none"/>
        </w:rPr>
      </w:pPr>
      <w:r>
        <w:rPr>
          <w:rFonts w:hint="eastAsia" w:ascii="宋体" w:hAnsi="宋体"/>
          <w:color w:val="auto"/>
          <w:highlight w:val="none"/>
        </w:rPr>
        <w:t>14.1、响应文件须密封包装并加盖谈判响应方公章</w:t>
      </w:r>
      <w:r>
        <w:rPr>
          <w:rFonts w:hint="eastAsia" w:ascii="宋体" w:hAnsi="宋体"/>
          <w:b/>
          <w:color w:val="auto"/>
          <w:highlight w:val="none"/>
        </w:rPr>
        <w:t>。</w:t>
      </w:r>
    </w:p>
    <w:p>
      <w:pPr>
        <w:pStyle w:val="34"/>
        <w:spacing w:before="0" w:line="440" w:lineRule="exact"/>
        <w:ind w:firstLine="480"/>
        <w:rPr>
          <w:rFonts w:ascii="宋体" w:hAnsi="宋体"/>
          <w:color w:val="auto"/>
          <w:highlight w:val="none"/>
        </w:rPr>
      </w:pPr>
      <w:r>
        <w:rPr>
          <w:rFonts w:hint="eastAsia" w:ascii="宋体" w:hAnsi="宋体"/>
          <w:color w:val="auto"/>
          <w:highlight w:val="none"/>
        </w:rPr>
        <w:t>14.2、响应文件外层包装封面上应注明“响应文件、项目名称、项目编号、谈判响应方名称及开标时启封”字样，并加盖谈判响应方公章。可参考“第五部分 响应文件格式”。</w:t>
      </w:r>
    </w:p>
    <w:p>
      <w:pPr>
        <w:pStyle w:val="34"/>
        <w:spacing w:before="0" w:line="440" w:lineRule="exact"/>
        <w:ind w:firstLine="480"/>
        <w:rPr>
          <w:rFonts w:ascii="宋体" w:hAnsi="宋体"/>
          <w:color w:val="auto"/>
          <w:highlight w:val="none"/>
        </w:rPr>
      </w:pPr>
      <w:r>
        <w:rPr>
          <w:rFonts w:hint="eastAsia" w:ascii="宋体" w:hAnsi="宋体"/>
          <w:color w:val="auto"/>
          <w:highlight w:val="none"/>
        </w:rPr>
        <w:t>14.3、采购代理机构将拒绝未通过报名的谈判响应方的响应文件。</w:t>
      </w:r>
    </w:p>
    <w:p>
      <w:pPr>
        <w:pStyle w:val="34"/>
        <w:spacing w:before="0" w:line="440" w:lineRule="exact"/>
        <w:ind w:firstLine="480"/>
        <w:rPr>
          <w:rFonts w:ascii="宋体" w:hAnsi="宋体"/>
          <w:color w:val="auto"/>
          <w:highlight w:val="none"/>
        </w:rPr>
      </w:pPr>
      <w:r>
        <w:rPr>
          <w:rFonts w:hint="eastAsia" w:ascii="宋体" w:hAnsi="宋体"/>
          <w:color w:val="auto"/>
          <w:highlight w:val="none"/>
        </w:rPr>
        <w:t>14.4、未按规定密封或未按规定标记的响应文件，一经发现将被拒绝，由此造成响应文件被误投或提前拆封的风险由谈判响应方承担。</w:t>
      </w:r>
    </w:p>
    <w:p>
      <w:pPr>
        <w:pStyle w:val="34"/>
        <w:spacing w:before="0" w:line="440" w:lineRule="exact"/>
        <w:ind w:firstLine="480"/>
        <w:rPr>
          <w:rFonts w:ascii="宋体" w:hAnsi="宋体"/>
          <w:color w:val="auto"/>
          <w:highlight w:val="none"/>
        </w:rPr>
      </w:pPr>
      <w:r>
        <w:rPr>
          <w:rFonts w:hint="eastAsia" w:ascii="宋体" w:hAnsi="宋体"/>
          <w:color w:val="auto"/>
          <w:highlight w:val="none"/>
        </w:rPr>
        <w:t>14.5、</w:t>
      </w:r>
      <w:r>
        <w:rPr>
          <w:rFonts w:hint="eastAsia" w:ascii="新宋体" w:hAnsi="新宋体" w:eastAsia="新宋体" w:cs="新宋体"/>
          <w:color w:val="auto"/>
          <w:szCs w:val="24"/>
          <w:highlight w:val="none"/>
        </w:rPr>
        <w:t>请在</w:t>
      </w:r>
      <w:r>
        <w:rPr>
          <w:rFonts w:hint="eastAsia" w:ascii="宋体" w:hAnsi="宋体"/>
          <w:color w:val="auto"/>
          <w:highlight w:val="none"/>
        </w:rPr>
        <w:t>提交响应文件截止时间</w:t>
      </w:r>
      <w:r>
        <w:rPr>
          <w:rFonts w:hint="eastAsia" w:ascii="新宋体" w:hAnsi="新宋体" w:eastAsia="新宋体" w:cs="新宋体"/>
          <w:color w:val="auto"/>
          <w:szCs w:val="24"/>
          <w:highlight w:val="none"/>
        </w:rPr>
        <w:t>前将</w:t>
      </w:r>
      <w:r>
        <w:rPr>
          <w:rFonts w:hint="eastAsia" w:ascii="宋体" w:hAnsi="宋体"/>
          <w:color w:val="auto"/>
          <w:highlight w:val="none"/>
        </w:rPr>
        <w:t>响应文件</w:t>
      </w:r>
      <w:r>
        <w:rPr>
          <w:rFonts w:hint="eastAsia" w:ascii="新宋体" w:hAnsi="新宋体" w:eastAsia="新宋体" w:cs="新宋体"/>
          <w:color w:val="auto"/>
          <w:szCs w:val="24"/>
          <w:highlight w:val="none"/>
        </w:rPr>
        <w:t>送至采购文件中指定地点。</w:t>
      </w:r>
    </w:p>
    <w:p>
      <w:pPr>
        <w:pStyle w:val="34"/>
        <w:spacing w:before="0" w:line="440" w:lineRule="exact"/>
        <w:ind w:firstLine="480"/>
        <w:rPr>
          <w:rFonts w:ascii="宋体" w:hAnsi="宋体"/>
          <w:color w:val="auto"/>
          <w:highlight w:val="none"/>
        </w:rPr>
      </w:pPr>
      <w:r>
        <w:rPr>
          <w:rFonts w:hint="eastAsia" w:ascii="宋体" w:hAnsi="宋体"/>
          <w:color w:val="auto"/>
          <w:highlight w:val="none"/>
        </w:rPr>
        <w:t>14.6、响应文件一经拆封均</w:t>
      </w:r>
      <w:r>
        <w:rPr>
          <w:rFonts w:ascii="Times New Roman" w:hAnsi="Times New Roman"/>
          <w:color w:val="auto"/>
          <w:highlight w:val="none"/>
        </w:rPr>
        <w:t>不予退回</w:t>
      </w:r>
      <w:r>
        <w:rPr>
          <w:rFonts w:ascii="Times New Roman" w:hAnsi="Times New Roman"/>
          <w:bCs/>
          <w:color w:val="auto"/>
          <w:highlight w:val="none"/>
        </w:rPr>
        <w:t>（法律法规另有规定的除外）</w:t>
      </w:r>
      <w:r>
        <w:rPr>
          <w:rFonts w:ascii="Times New Roman" w:hAnsi="Times New Roman"/>
          <w:color w:val="auto"/>
          <w:highlight w:val="none"/>
        </w:rPr>
        <w:t>。</w:t>
      </w:r>
    </w:p>
    <w:p>
      <w:pPr>
        <w:adjustRightInd w:val="0"/>
        <w:snapToGrid w:val="0"/>
        <w:spacing w:line="440" w:lineRule="exact"/>
        <w:rPr>
          <w:rFonts w:ascii="宋体" w:hAnsi="宋体"/>
          <w:color w:val="auto"/>
          <w:sz w:val="24"/>
          <w:highlight w:val="none"/>
        </w:rPr>
      </w:pPr>
      <w:r>
        <w:rPr>
          <w:rFonts w:hint="eastAsia" w:ascii="宋体" w:hAnsi="宋体"/>
          <w:b/>
          <w:color w:val="auto"/>
          <w:sz w:val="24"/>
          <w:highlight w:val="none"/>
        </w:rPr>
        <w:t>15、递交响应文件的截止时间</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15.1、所有响应文件必须按采购文件规定的提交响应文件截止时间之前送至采购代理机构地点。</w:t>
      </w:r>
    </w:p>
    <w:p>
      <w:pPr>
        <w:adjustRightInd w:val="0"/>
        <w:snapToGrid w:val="0"/>
        <w:spacing w:line="440" w:lineRule="exact"/>
        <w:ind w:firstLine="482" w:firstLineChars="200"/>
        <w:rPr>
          <w:rFonts w:ascii="宋体" w:hAnsi="宋体"/>
          <w:b/>
          <w:color w:val="auto"/>
          <w:sz w:val="24"/>
          <w:highlight w:val="none"/>
        </w:rPr>
      </w:pPr>
      <w:r>
        <w:rPr>
          <w:rFonts w:hint="eastAsia" w:ascii="宋体" w:hAnsi="宋体"/>
          <w:b/>
          <w:color w:val="auto"/>
          <w:sz w:val="24"/>
          <w:highlight w:val="none"/>
        </w:rPr>
        <w:t>15.2、采购代理机构将拒绝在提交响应文件截止时间后收到的响应文件。</w:t>
      </w:r>
    </w:p>
    <w:p>
      <w:pPr>
        <w:adjustRightInd w:val="0"/>
        <w:snapToGrid w:val="0"/>
        <w:spacing w:line="440" w:lineRule="exact"/>
        <w:rPr>
          <w:rFonts w:ascii="宋体" w:hAnsi="宋体"/>
          <w:b/>
          <w:color w:val="auto"/>
          <w:sz w:val="24"/>
          <w:highlight w:val="none"/>
        </w:rPr>
      </w:pPr>
      <w:r>
        <w:rPr>
          <w:rFonts w:hint="eastAsia" w:ascii="宋体" w:hAnsi="宋体"/>
          <w:b/>
          <w:color w:val="auto"/>
          <w:sz w:val="24"/>
          <w:highlight w:val="none"/>
        </w:rPr>
        <w:t>16、响应文件的修改和撤回</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谈判响应方在提交响应文件截止时间之前，经开标工作人员确认后，可以对已提交的响应文件进行修改或撤回。修改后重新递交的响应文件应当按本采购文件的要求签署、盖章和密封。提交响应文件截止时间后，采购响应方不得撤回、修改响应文件。</w:t>
      </w:r>
    </w:p>
    <w:p>
      <w:pPr>
        <w:adjustRightInd w:val="0"/>
        <w:snapToGrid w:val="0"/>
        <w:spacing w:line="440" w:lineRule="exact"/>
        <w:rPr>
          <w:rFonts w:ascii="宋体" w:hAnsi="宋体"/>
          <w:b/>
          <w:color w:val="auto"/>
          <w:sz w:val="24"/>
          <w:highlight w:val="none"/>
        </w:rPr>
      </w:pPr>
      <w:r>
        <w:rPr>
          <w:rFonts w:hint="eastAsia" w:ascii="宋体" w:hAnsi="宋体"/>
          <w:b/>
          <w:color w:val="auto"/>
          <w:sz w:val="24"/>
          <w:highlight w:val="none"/>
        </w:rPr>
        <w:t>17、无效情形</w:t>
      </w:r>
    </w:p>
    <w:p>
      <w:pPr>
        <w:adjustRightInd w:val="0"/>
        <w:snapToGrid w:val="0"/>
        <w:spacing w:line="500" w:lineRule="exact"/>
        <w:ind w:firstLine="480" w:firstLineChars="200"/>
        <w:rPr>
          <w:rFonts w:ascii="宋体" w:hAnsi="宋体"/>
          <w:color w:val="auto"/>
          <w:sz w:val="24"/>
          <w:highlight w:val="none"/>
        </w:rPr>
      </w:pPr>
      <w:r>
        <w:rPr>
          <w:rFonts w:hint="eastAsia" w:ascii="宋体" w:hAnsi="宋体"/>
          <w:color w:val="auto"/>
          <w:sz w:val="24"/>
          <w:highlight w:val="none"/>
        </w:rPr>
        <w:t>17.1被拒绝的响应文件；</w:t>
      </w:r>
    </w:p>
    <w:p>
      <w:pPr>
        <w:pStyle w:val="34"/>
        <w:spacing w:before="0" w:line="440" w:lineRule="exact"/>
        <w:ind w:firstLine="480"/>
        <w:rPr>
          <w:rFonts w:ascii="宋体" w:hAnsi="宋体"/>
          <w:color w:val="auto"/>
          <w:szCs w:val="24"/>
          <w:highlight w:val="none"/>
        </w:rPr>
      </w:pPr>
      <w:r>
        <w:rPr>
          <w:rFonts w:hint="eastAsia" w:ascii="宋体" w:hAnsi="宋体"/>
          <w:color w:val="auto"/>
          <w:szCs w:val="24"/>
          <w:highlight w:val="none"/>
        </w:rPr>
        <w:t>17.2资格证明文件不全，或者不符合采购文件标明的资格要求（参见采购公告之“供应商资格要求” ）；</w:t>
      </w:r>
    </w:p>
    <w:p>
      <w:pPr>
        <w:adjustRightInd w:val="0"/>
        <w:snapToGrid w:val="0"/>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17.3信用审查不通过的；</w:t>
      </w:r>
    </w:p>
    <w:p>
      <w:pPr>
        <w:pStyle w:val="12"/>
        <w:spacing w:line="440" w:lineRule="exact"/>
        <w:ind w:firstLine="470" w:firstLineChars="196"/>
        <w:rPr>
          <w:rFonts w:hint="eastAsia" w:ascii="宋体" w:hAnsi="宋体" w:cs="宋体"/>
          <w:color w:val="auto"/>
          <w:sz w:val="24"/>
          <w:highlight w:val="none"/>
        </w:rPr>
      </w:pPr>
      <w:r>
        <w:rPr>
          <w:rFonts w:hint="eastAsia" w:hAnsi="宋体" w:cs="宋体"/>
          <w:color w:val="auto"/>
          <w:sz w:val="24"/>
          <w:szCs w:val="24"/>
          <w:highlight w:val="none"/>
          <w:lang w:val="en-US" w:eastAsia="zh-CN"/>
        </w:rPr>
        <w:t>17.4响应</w:t>
      </w:r>
      <w:r>
        <w:rPr>
          <w:rFonts w:hint="eastAsia" w:hAnsi="宋体" w:cs="宋体"/>
          <w:color w:val="auto"/>
          <w:sz w:val="24"/>
          <w:szCs w:val="24"/>
          <w:highlight w:val="none"/>
          <w:lang w:eastAsia="zh-CN"/>
        </w:rPr>
        <w:t>文件未按胶订形式装订；</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17.</w:t>
      </w:r>
      <w:r>
        <w:rPr>
          <w:rFonts w:hint="eastAsia" w:ascii="宋体" w:hAnsi="宋体"/>
          <w:color w:val="auto"/>
          <w:sz w:val="24"/>
          <w:highlight w:val="none"/>
          <w:lang w:val="en-US" w:eastAsia="zh-CN"/>
        </w:rPr>
        <w:t>5</w:t>
      </w:r>
      <w:r>
        <w:rPr>
          <w:rFonts w:hint="eastAsia" w:ascii="宋体" w:hAnsi="宋体"/>
          <w:color w:val="auto"/>
          <w:sz w:val="24"/>
          <w:highlight w:val="none"/>
        </w:rPr>
        <w:t>响应文件封面、初次报价表、谈判响应函、授权委托书，任意一项未加盖单位公章；</w:t>
      </w:r>
    </w:p>
    <w:p>
      <w:pPr>
        <w:adjustRightInd w:val="0"/>
        <w:snapToGrid w:val="0"/>
        <w:spacing w:line="440" w:lineRule="exact"/>
        <w:ind w:firstLine="480" w:firstLineChars="200"/>
        <w:rPr>
          <w:rFonts w:hint="eastAsia" w:hAnsi="Courier New"/>
          <w:color w:val="auto"/>
          <w:sz w:val="24"/>
          <w:szCs w:val="24"/>
          <w:highlight w:val="none"/>
          <w:lang w:val="en-US" w:eastAsia="zh-CN"/>
        </w:rPr>
      </w:pPr>
      <w:r>
        <w:rPr>
          <w:rFonts w:hint="eastAsia" w:ascii="宋体" w:hAnsi="宋体" w:eastAsia="宋体" w:cs="宋体"/>
          <w:color w:val="auto"/>
          <w:sz w:val="24"/>
          <w:szCs w:val="24"/>
          <w:highlight w:val="none"/>
        </w:rPr>
        <w:t>17.</w:t>
      </w:r>
      <w:r>
        <w:rPr>
          <w:rFonts w:hint="eastAsia" w:ascii="宋体" w:hAnsi="宋体" w:cs="宋体"/>
          <w:color w:val="auto"/>
          <w:sz w:val="24"/>
          <w:szCs w:val="24"/>
          <w:highlight w:val="none"/>
          <w:lang w:val="en-US" w:eastAsia="zh-CN"/>
        </w:rPr>
        <w:t>6</w:t>
      </w:r>
      <w:r>
        <w:rPr>
          <w:rFonts w:hint="eastAsia" w:hAnsi="Courier New"/>
          <w:color w:val="auto"/>
          <w:sz w:val="24"/>
          <w:szCs w:val="24"/>
          <w:highlight w:val="none"/>
          <w:lang w:val="en-US" w:eastAsia="zh-CN"/>
        </w:rPr>
        <w:t>法定代表人作为响应方代表未提供身份证正反面复印件;法定代表人授权委托书未按要求提供授权代表社保缴纳证明（加盖社保部门公章）、未提供授权代表身份证正反面复印件、未提供法定代表人身份证正反面复印件、未按照“第五部分 响应文件格式”填写；</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17.</w:t>
      </w:r>
      <w:r>
        <w:rPr>
          <w:rFonts w:hint="eastAsia" w:ascii="宋体" w:hAnsi="宋体"/>
          <w:color w:val="auto"/>
          <w:sz w:val="24"/>
          <w:highlight w:val="none"/>
          <w:lang w:val="en-US" w:eastAsia="zh-CN"/>
        </w:rPr>
        <w:t>7</w:t>
      </w:r>
      <w:r>
        <w:rPr>
          <w:rFonts w:hint="eastAsia" w:ascii="宋体" w:hAnsi="宋体"/>
          <w:color w:val="auto"/>
          <w:sz w:val="24"/>
          <w:highlight w:val="none"/>
        </w:rPr>
        <w:t>初次报价表、谈判响应函无法定代表人（或授权代表）签字；</w:t>
      </w:r>
    </w:p>
    <w:p>
      <w:pPr>
        <w:adjustRightInd w:val="0"/>
        <w:snapToGrid w:val="0"/>
        <w:spacing w:line="500" w:lineRule="exact"/>
        <w:ind w:firstLine="480" w:firstLineChars="200"/>
        <w:rPr>
          <w:rFonts w:ascii="宋体" w:hAnsi="宋体"/>
          <w:color w:val="auto"/>
          <w:sz w:val="24"/>
          <w:highlight w:val="none"/>
        </w:rPr>
      </w:pPr>
      <w:r>
        <w:rPr>
          <w:rFonts w:hint="eastAsia" w:ascii="宋体" w:hAnsi="宋体"/>
          <w:color w:val="auto"/>
          <w:sz w:val="24"/>
          <w:highlight w:val="none"/>
        </w:rPr>
        <w:t>17.</w:t>
      </w:r>
      <w:r>
        <w:rPr>
          <w:rFonts w:hint="eastAsia" w:ascii="宋体" w:hAnsi="宋体"/>
          <w:color w:val="auto"/>
          <w:sz w:val="24"/>
          <w:highlight w:val="none"/>
          <w:lang w:val="en-US" w:eastAsia="zh-CN"/>
        </w:rPr>
        <w:t>8</w:t>
      </w:r>
      <w:r>
        <w:rPr>
          <w:rFonts w:hint="eastAsia" w:ascii="宋体" w:hAnsi="宋体"/>
          <w:color w:val="auto"/>
          <w:sz w:val="24"/>
          <w:highlight w:val="none"/>
        </w:rPr>
        <w:t xml:space="preserve">授权代表与响应文件中授权委托书所载内容有异； </w:t>
      </w:r>
    </w:p>
    <w:p>
      <w:pPr>
        <w:adjustRightInd w:val="0"/>
        <w:snapToGrid w:val="0"/>
        <w:spacing w:line="500" w:lineRule="exact"/>
        <w:ind w:firstLine="480" w:firstLineChars="200"/>
        <w:rPr>
          <w:rFonts w:ascii="宋体" w:hAnsi="宋体"/>
          <w:color w:val="auto"/>
          <w:sz w:val="24"/>
          <w:highlight w:val="none"/>
        </w:rPr>
      </w:pPr>
      <w:r>
        <w:rPr>
          <w:rFonts w:hint="eastAsia" w:ascii="宋体" w:hAnsi="宋体"/>
          <w:color w:val="auto"/>
          <w:sz w:val="24"/>
          <w:highlight w:val="none"/>
        </w:rPr>
        <w:t>17.</w:t>
      </w:r>
      <w:r>
        <w:rPr>
          <w:rFonts w:hint="eastAsia" w:ascii="宋体" w:hAnsi="宋体"/>
          <w:color w:val="auto"/>
          <w:sz w:val="24"/>
          <w:highlight w:val="none"/>
          <w:lang w:val="en-US" w:eastAsia="zh-CN"/>
        </w:rPr>
        <w:t>9</w:t>
      </w:r>
      <w:r>
        <w:rPr>
          <w:rFonts w:hint="eastAsia" w:ascii="宋体" w:hAnsi="宋体"/>
          <w:color w:val="auto"/>
          <w:sz w:val="24"/>
          <w:highlight w:val="none"/>
        </w:rPr>
        <w:t>提供虚假证明材料；</w:t>
      </w:r>
    </w:p>
    <w:p>
      <w:pPr>
        <w:adjustRightInd w:val="0"/>
        <w:snapToGrid w:val="0"/>
        <w:spacing w:line="500" w:lineRule="exact"/>
        <w:ind w:firstLine="480" w:firstLineChars="200"/>
        <w:rPr>
          <w:rFonts w:ascii="宋体" w:hAnsi="宋体"/>
          <w:color w:val="auto"/>
          <w:sz w:val="24"/>
          <w:highlight w:val="none"/>
        </w:rPr>
      </w:pPr>
      <w:r>
        <w:rPr>
          <w:rFonts w:hint="eastAsia" w:ascii="宋体" w:hAnsi="宋体"/>
          <w:color w:val="auto"/>
          <w:sz w:val="24"/>
          <w:highlight w:val="none"/>
        </w:rPr>
        <w:t>17.</w:t>
      </w:r>
      <w:r>
        <w:rPr>
          <w:rFonts w:hint="eastAsia" w:ascii="宋体" w:hAnsi="宋体"/>
          <w:color w:val="auto"/>
          <w:sz w:val="24"/>
          <w:highlight w:val="none"/>
          <w:lang w:val="en-US" w:eastAsia="zh-CN"/>
        </w:rPr>
        <w:t>10</w:t>
      </w:r>
      <w:r>
        <w:rPr>
          <w:rFonts w:hint="eastAsia" w:ascii="宋体" w:hAnsi="宋体"/>
          <w:color w:val="auto"/>
          <w:sz w:val="24"/>
          <w:highlight w:val="none"/>
        </w:rPr>
        <w:t>响应文件不响应采购需求的实质性内容，谈判小组不能确认为有效；</w:t>
      </w:r>
    </w:p>
    <w:p>
      <w:pPr>
        <w:adjustRightInd w:val="0"/>
        <w:snapToGrid w:val="0"/>
        <w:spacing w:line="500" w:lineRule="exact"/>
        <w:ind w:firstLine="480" w:firstLineChars="200"/>
        <w:rPr>
          <w:rFonts w:ascii="宋体" w:hAnsi="宋体"/>
          <w:color w:val="auto"/>
          <w:sz w:val="24"/>
          <w:highlight w:val="none"/>
        </w:rPr>
      </w:pPr>
      <w:r>
        <w:rPr>
          <w:rFonts w:hint="eastAsia" w:ascii="宋体" w:hAnsi="宋体"/>
          <w:color w:val="auto"/>
          <w:sz w:val="24"/>
          <w:highlight w:val="none"/>
        </w:rPr>
        <w:t>17.</w:t>
      </w:r>
      <w:r>
        <w:rPr>
          <w:rFonts w:hint="eastAsia" w:ascii="宋体" w:hAnsi="宋体"/>
          <w:color w:val="auto"/>
          <w:sz w:val="24"/>
          <w:highlight w:val="none"/>
          <w:lang w:val="en-US" w:eastAsia="zh-CN"/>
        </w:rPr>
        <w:t>11</w:t>
      </w:r>
      <w:r>
        <w:rPr>
          <w:rFonts w:hint="eastAsia" w:ascii="宋体" w:hAnsi="宋体"/>
          <w:color w:val="auto"/>
          <w:sz w:val="24"/>
          <w:highlight w:val="none"/>
        </w:rPr>
        <w:t>响应文件中对于采购需求中的实质性内容的响应表述不清，谈判小组不能确认为有效；</w:t>
      </w:r>
    </w:p>
    <w:p>
      <w:pPr>
        <w:adjustRightInd w:val="0"/>
        <w:snapToGrid w:val="0"/>
        <w:spacing w:line="500" w:lineRule="exact"/>
        <w:ind w:firstLine="480" w:firstLineChars="200"/>
        <w:rPr>
          <w:rFonts w:ascii="宋体" w:hAnsi="宋体"/>
          <w:color w:val="auto"/>
          <w:sz w:val="24"/>
          <w:highlight w:val="none"/>
        </w:rPr>
      </w:pPr>
      <w:r>
        <w:rPr>
          <w:rFonts w:hint="eastAsia" w:ascii="宋体" w:hAnsi="宋体"/>
          <w:color w:val="auto"/>
          <w:sz w:val="24"/>
          <w:highlight w:val="none"/>
        </w:rPr>
        <w:t>17.</w:t>
      </w:r>
      <w:r>
        <w:rPr>
          <w:rFonts w:hint="eastAsia" w:ascii="宋体" w:hAnsi="宋体"/>
          <w:color w:val="auto"/>
          <w:sz w:val="24"/>
          <w:highlight w:val="none"/>
          <w:lang w:val="en-US" w:eastAsia="zh-CN"/>
        </w:rPr>
        <w:t>12</w:t>
      </w:r>
      <w:r>
        <w:rPr>
          <w:rFonts w:hint="eastAsia" w:ascii="宋体" w:hAnsi="宋体"/>
          <w:color w:val="auto"/>
          <w:sz w:val="24"/>
          <w:highlight w:val="none"/>
        </w:rPr>
        <w:t>响应文件组成中带“▲”资料提供不全的；</w:t>
      </w:r>
    </w:p>
    <w:p>
      <w:pPr>
        <w:adjustRightInd w:val="0"/>
        <w:snapToGrid w:val="0"/>
        <w:spacing w:line="500" w:lineRule="exact"/>
        <w:ind w:firstLine="480" w:firstLineChars="200"/>
        <w:rPr>
          <w:rFonts w:ascii="宋体" w:hAnsi="宋体"/>
          <w:color w:val="auto"/>
          <w:sz w:val="24"/>
          <w:highlight w:val="none"/>
        </w:rPr>
      </w:pPr>
      <w:r>
        <w:rPr>
          <w:rFonts w:hint="eastAsia" w:ascii="宋体" w:hAnsi="宋体"/>
          <w:color w:val="auto"/>
          <w:sz w:val="24"/>
          <w:highlight w:val="none"/>
        </w:rPr>
        <w:t>17.1</w:t>
      </w:r>
      <w:r>
        <w:rPr>
          <w:rFonts w:hint="eastAsia" w:ascii="宋体" w:hAnsi="宋体"/>
          <w:color w:val="auto"/>
          <w:sz w:val="24"/>
          <w:highlight w:val="none"/>
          <w:lang w:val="en-US" w:eastAsia="zh-CN"/>
        </w:rPr>
        <w:t>3</w:t>
      </w:r>
      <w:r>
        <w:rPr>
          <w:rFonts w:hint="eastAsia" w:ascii="宋体" w:hAnsi="宋体"/>
          <w:color w:val="auto"/>
          <w:sz w:val="24"/>
          <w:highlight w:val="none"/>
        </w:rPr>
        <w:t>响应文件份数不符合要求；</w:t>
      </w:r>
    </w:p>
    <w:p>
      <w:pPr>
        <w:adjustRightInd w:val="0"/>
        <w:snapToGrid w:val="0"/>
        <w:spacing w:line="500" w:lineRule="exact"/>
        <w:ind w:firstLine="480" w:firstLineChars="200"/>
        <w:rPr>
          <w:rFonts w:ascii="宋体" w:hAnsi="宋体"/>
          <w:color w:val="auto"/>
          <w:sz w:val="24"/>
          <w:highlight w:val="none"/>
        </w:rPr>
      </w:pPr>
      <w:r>
        <w:rPr>
          <w:rFonts w:hint="eastAsia" w:ascii="宋体" w:hAnsi="宋体"/>
          <w:color w:val="auto"/>
          <w:sz w:val="24"/>
          <w:highlight w:val="none"/>
        </w:rPr>
        <w:t>17.1</w:t>
      </w:r>
      <w:r>
        <w:rPr>
          <w:rFonts w:hint="eastAsia" w:ascii="宋体" w:hAnsi="宋体"/>
          <w:color w:val="auto"/>
          <w:sz w:val="24"/>
          <w:highlight w:val="none"/>
          <w:lang w:val="en-US" w:eastAsia="zh-CN"/>
        </w:rPr>
        <w:t>4</w:t>
      </w:r>
      <w:r>
        <w:rPr>
          <w:rFonts w:hint="eastAsia" w:ascii="宋体" w:hAnsi="宋体"/>
          <w:color w:val="auto"/>
          <w:sz w:val="24"/>
          <w:highlight w:val="none"/>
        </w:rPr>
        <w:t>技术方案不明确或存在备选（替代）响应方案；</w:t>
      </w:r>
    </w:p>
    <w:p>
      <w:pPr>
        <w:adjustRightInd w:val="0"/>
        <w:snapToGrid w:val="0"/>
        <w:spacing w:line="500" w:lineRule="exact"/>
        <w:ind w:firstLine="480" w:firstLineChars="200"/>
        <w:rPr>
          <w:rFonts w:ascii="宋体" w:hAnsi="宋体"/>
          <w:color w:val="auto"/>
          <w:sz w:val="24"/>
          <w:highlight w:val="none"/>
        </w:rPr>
      </w:pPr>
      <w:r>
        <w:rPr>
          <w:rFonts w:hint="eastAsia" w:ascii="宋体" w:hAnsi="宋体"/>
          <w:color w:val="auto"/>
          <w:sz w:val="24"/>
          <w:highlight w:val="none"/>
        </w:rPr>
        <w:t>17.1</w:t>
      </w:r>
      <w:r>
        <w:rPr>
          <w:rFonts w:hint="eastAsia" w:ascii="宋体" w:hAnsi="宋体"/>
          <w:color w:val="auto"/>
          <w:sz w:val="24"/>
          <w:highlight w:val="none"/>
          <w:lang w:val="en-US" w:eastAsia="zh-CN"/>
        </w:rPr>
        <w:t>5</w:t>
      </w:r>
      <w:r>
        <w:rPr>
          <w:rFonts w:hint="eastAsia" w:ascii="宋体" w:hAnsi="宋体"/>
          <w:color w:val="auto"/>
          <w:sz w:val="24"/>
          <w:highlight w:val="none"/>
        </w:rPr>
        <w:t>未按照采购文件标明的币种报价；</w:t>
      </w:r>
    </w:p>
    <w:p>
      <w:pPr>
        <w:adjustRightInd w:val="0"/>
        <w:snapToGrid w:val="0"/>
        <w:spacing w:line="500" w:lineRule="exact"/>
        <w:ind w:firstLine="480" w:firstLineChars="200"/>
        <w:rPr>
          <w:rFonts w:ascii="宋体" w:hAnsi="宋体"/>
          <w:color w:val="auto"/>
          <w:sz w:val="24"/>
          <w:highlight w:val="none"/>
        </w:rPr>
      </w:pPr>
      <w:r>
        <w:rPr>
          <w:rFonts w:hint="eastAsia" w:ascii="宋体" w:hAnsi="宋体"/>
          <w:color w:val="auto"/>
          <w:sz w:val="24"/>
          <w:highlight w:val="none"/>
        </w:rPr>
        <w:t>17.1</w:t>
      </w:r>
      <w:r>
        <w:rPr>
          <w:rFonts w:hint="eastAsia" w:ascii="宋体" w:hAnsi="宋体"/>
          <w:color w:val="auto"/>
          <w:sz w:val="24"/>
          <w:highlight w:val="none"/>
          <w:lang w:val="en-US" w:eastAsia="zh-CN"/>
        </w:rPr>
        <w:t>6</w:t>
      </w:r>
      <w:r>
        <w:rPr>
          <w:rFonts w:hint="eastAsia" w:ascii="宋体" w:hAnsi="宋体"/>
          <w:color w:val="auto"/>
          <w:sz w:val="24"/>
          <w:highlight w:val="none"/>
        </w:rPr>
        <w:t>最终报价超出最高限价，或者超出采购预算金额，采购人不能支付；</w:t>
      </w:r>
    </w:p>
    <w:p>
      <w:pPr>
        <w:adjustRightInd w:val="0"/>
        <w:snapToGrid w:val="0"/>
        <w:spacing w:line="500" w:lineRule="exact"/>
        <w:ind w:firstLine="480" w:firstLineChars="200"/>
        <w:rPr>
          <w:rFonts w:ascii="宋体" w:hAnsi="宋体"/>
          <w:color w:val="auto"/>
          <w:sz w:val="24"/>
          <w:highlight w:val="none"/>
        </w:rPr>
      </w:pPr>
      <w:r>
        <w:rPr>
          <w:rFonts w:hint="eastAsia" w:ascii="宋体" w:hAnsi="宋体"/>
          <w:color w:val="auto"/>
          <w:sz w:val="24"/>
          <w:highlight w:val="none"/>
        </w:rPr>
        <w:t>17.</w:t>
      </w:r>
      <w:r>
        <w:rPr>
          <w:rFonts w:hint="eastAsia" w:ascii="宋体" w:hAnsi="宋体"/>
          <w:color w:val="auto"/>
          <w:sz w:val="24"/>
          <w:highlight w:val="none"/>
          <w:lang w:val="en-US" w:eastAsia="zh-CN"/>
        </w:rPr>
        <w:t>17</w:t>
      </w:r>
      <w:r>
        <w:rPr>
          <w:rFonts w:hint="eastAsia" w:ascii="宋体" w:hAnsi="宋体"/>
          <w:color w:val="auto"/>
          <w:sz w:val="24"/>
          <w:highlight w:val="none"/>
        </w:rPr>
        <w:t>报价具有选择性；</w:t>
      </w:r>
    </w:p>
    <w:p>
      <w:pPr>
        <w:adjustRightInd w:val="0"/>
        <w:snapToGrid w:val="0"/>
        <w:spacing w:line="500" w:lineRule="exact"/>
        <w:ind w:firstLine="480" w:firstLineChars="200"/>
        <w:rPr>
          <w:rFonts w:ascii="宋体" w:hAnsi="宋体" w:cs="宋体"/>
          <w:color w:val="auto"/>
          <w:sz w:val="24"/>
          <w:highlight w:val="none"/>
        </w:rPr>
      </w:pPr>
      <w:r>
        <w:rPr>
          <w:rFonts w:hint="eastAsia" w:ascii="宋体" w:hAnsi="宋体"/>
          <w:color w:val="auto"/>
          <w:sz w:val="24"/>
          <w:highlight w:val="none"/>
        </w:rPr>
        <w:t>17.1</w:t>
      </w:r>
      <w:r>
        <w:rPr>
          <w:rFonts w:hint="eastAsia" w:ascii="宋体" w:hAnsi="宋体"/>
          <w:color w:val="auto"/>
          <w:sz w:val="24"/>
          <w:highlight w:val="none"/>
          <w:lang w:val="en-US" w:eastAsia="zh-CN"/>
        </w:rPr>
        <w:t>8</w:t>
      </w:r>
      <w:r>
        <w:rPr>
          <w:rFonts w:hint="eastAsia" w:ascii="宋体" w:hAnsi="宋体" w:cs="宋体"/>
          <w:color w:val="auto"/>
          <w:sz w:val="24"/>
          <w:highlight w:val="none"/>
        </w:rPr>
        <w:t>供应商串通投标的；</w:t>
      </w:r>
    </w:p>
    <w:p>
      <w:pPr>
        <w:adjustRightInd w:val="0"/>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17.1</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响应文件中承诺的响应有效期少于采购文件中载明的响应有效期的；</w:t>
      </w:r>
    </w:p>
    <w:p>
      <w:pPr>
        <w:adjustRightInd w:val="0"/>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响应文件含有采购人不能接受的附加条件的;</w:t>
      </w:r>
    </w:p>
    <w:p>
      <w:pPr>
        <w:adjustRightInd w:val="0"/>
        <w:snapToGrid w:val="0"/>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17.</w:t>
      </w:r>
      <w:r>
        <w:rPr>
          <w:rFonts w:hint="eastAsia" w:ascii="宋体" w:hAnsi="宋体"/>
          <w:color w:val="auto"/>
          <w:sz w:val="24"/>
          <w:highlight w:val="none"/>
          <w:lang w:val="en-US" w:eastAsia="zh-CN"/>
        </w:rPr>
        <w:t>21</w:t>
      </w:r>
      <w:r>
        <w:rPr>
          <w:rFonts w:hint="eastAsia" w:ascii="宋体" w:hAnsi="宋体"/>
          <w:color w:val="auto"/>
          <w:sz w:val="24"/>
          <w:highlight w:val="none"/>
        </w:rPr>
        <w:t>不符合法律、法规等相关规定或响应文件有采购人、采购代理机构不能接受的附加条件；</w:t>
      </w:r>
    </w:p>
    <w:p>
      <w:pPr>
        <w:adjustRightInd w:val="0"/>
        <w:snapToGrid w:val="0"/>
        <w:spacing w:line="50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17.22</w:t>
      </w:r>
      <w:r>
        <w:rPr>
          <w:rFonts w:hint="eastAsia" w:ascii="宋体" w:hAnsi="宋体" w:cs="宋体"/>
          <w:color w:val="auto"/>
          <w:sz w:val="24"/>
          <w:highlight w:val="none"/>
          <w:lang w:eastAsia="zh-CN"/>
        </w:rPr>
        <w:t>授权代表未在投标截止时间之前到达开标现场签到；</w:t>
      </w:r>
    </w:p>
    <w:p>
      <w:pPr>
        <w:adjustRightInd w:val="0"/>
        <w:snapToGrid w:val="0"/>
        <w:spacing w:line="500" w:lineRule="exact"/>
        <w:ind w:firstLine="480" w:firstLineChars="200"/>
        <w:rPr>
          <w:rFonts w:hint="eastAsia" w:ascii="宋体" w:hAnsi="宋体"/>
          <w:color w:val="auto"/>
          <w:sz w:val="24"/>
          <w:highlight w:val="none"/>
        </w:rPr>
      </w:pPr>
      <w:r>
        <w:rPr>
          <w:rFonts w:hint="eastAsia" w:ascii="宋体" w:hAnsi="宋体" w:cs="宋体"/>
          <w:color w:val="auto"/>
          <w:sz w:val="24"/>
          <w:highlight w:val="none"/>
          <w:lang w:val="en-US" w:eastAsia="zh-CN"/>
        </w:rPr>
        <w:t>17.23</w:t>
      </w:r>
      <w:r>
        <w:rPr>
          <w:rFonts w:hint="eastAsia" w:ascii="宋体" w:hAnsi="宋体" w:cs="宋体"/>
          <w:color w:val="auto"/>
          <w:sz w:val="24"/>
          <w:highlight w:val="none"/>
          <w:lang w:eastAsia="zh-CN"/>
        </w:rPr>
        <w:t>授权代表未提供有效身份证件。</w:t>
      </w:r>
    </w:p>
    <w:p>
      <w:pPr>
        <w:adjustRightInd w:val="0"/>
        <w:snapToGrid w:val="0"/>
        <w:spacing w:line="500" w:lineRule="exact"/>
        <w:ind w:firstLine="480" w:firstLineChars="200"/>
        <w:rPr>
          <w:rFonts w:ascii="宋体" w:hAnsi="宋体"/>
          <w:color w:val="auto"/>
          <w:sz w:val="24"/>
          <w:highlight w:val="none"/>
        </w:rPr>
      </w:pPr>
      <w:r>
        <w:rPr>
          <w:rFonts w:hint="eastAsia" w:ascii="宋体" w:hAnsi="宋体"/>
          <w:bCs/>
          <w:color w:val="auto"/>
          <w:sz w:val="24"/>
          <w:highlight w:val="none"/>
        </w:rPr>
        <w:t>17.2</w:t>
      </w:r>
      <w:r>
        <w:rPr>
          <w:rFonts w:hint="eastAsia" w:ascii="宋体" w:hAnsi="宋体"/>
          <w:bCs/>
          <w:color w:val="auto"/>
          <w:sz w:val="24"/>
          <w:highlight w:val="none"/>
          <w:lang w:val="en-US" w:eastAsia="zh-CN"/>
        </w:rPr>
        <w:t>4</w:t>
      </w:r>
      <w:r>
        <w:rPr>
          <w:rFonts w:hint="eastAsia" w:hAnsi="宋体" w:cs="宋体"/>
          <w:color w:val="auto"/>
          <w:sz w:val="24"/>
          <w:szCs w:val="24"/>
          <w:highlight w:val="none"/>
        </w:rPr>
        <w:t>法律法规及采购文件规定的其他无效情形。</w:t>
      </w:r>
      <w:r>
        <w:rPr>
          <w:rFonts w:hint="eastAsia" w:ascii="宋体" w:hAnsi="宋体"/>
          <w:bCs/>
          <w:color w:val="auto"/>
          <w:sz w:val="24"/>
          <w:highlight w:val="none"/>
        </w:rPr>
        <w:t xml:space="preserve">    </w:t>
      </w:r>
      <w:r>
        <w:rPr>
          <w:rFonts w:hint="eastAsia" w:ascii="宋体" w:hAnsi="宋体"/>
          <w:color w:val="auto"/>
          <w:sz w:val="24"/>
          <w:highlight w:val="none"/>
        </w:rPr>
        <w:t xml:space="preserve">                                                                                               </w:t>
      </w:r>
    </w:p>
    <w:p>
      <w:pPr>
        <w:pStyle w:val="10"/>
        <w:spacing w:line="440" w:lineRule="exact"/>
        <w:ind w:firstLine="0"/>
        <w:rPr>
          <w:rFonts w:ascii="宋体" w:hAnsi="宋体"/>
          <w:b/>
          <w:color w:val="auto"/>
          <w:sz w:val="24"/>
          <w:highlight w:val="none"/>
        </w:rPr>
      </w:pPr>
      <w:r>
        <w:rPr>
          <w:rFonts w:hint="eastAsia" w:ascii="宋体" w:hAnsi="宋体"/>
          <w:b/>
          <w:color w:val="auto"/>
          <w:sz w:val="24"/>
          <w:highlight w:val="none"/>
        </w:rPr>
        <w:t>18、废标</w:t>
      </w:r>
    </w:p>
    <w:p>
      <w:pPr>
        <w:widowControl/>
        <w:spacing w:line="380" w:lineRule="atLeast"/>
        <w:jc w:val="left"/>
        <w:rPr>
          <w:rFonts w:ascii="Arial" w:hAnsi="Arial" w:cs="Arial"/>
          <w:color w:val="auto"/>
          <w:kern w:val="0"/>
          <w:sz w:val="24"/>
          <w:highlight w:val="none"/>
        </w:rPr>
      </w:pPr>
      <w:r>
        <w:rPr>
          <w:rFonts w:hint="eastAsia" w:ascii="宋体" w:hAnsi="宋体" w:cs="仿宋_GB2312"/>
          <w:color w:val="auto"/>
          <w:kern w:val="0"/>
          <w:sz w:val="24"/>
          <w:highlight w:val="none"/>
        </w:rPr>
        <w:t xml:space="preserve">     根据《中华人民共和国政府采购法》</w:t>
      </w:r>
      <w:r>
        <w:rPr>
          <w:rFonts w:ascii="Arial" w:hAnsi="Arial" w:cs="Arial"/>
          <w:color w:val="auto"/>
          <w:kern w:val="0"/>
          <w:sz w:val="24"/>
          <w:highlight w:val="none"/>
        </w:rPr>
        <w:t>第三十六条</w:t>
      </w:r>
      <w:r>
        <w:rPr>
          <w:rFonts w:hint="eastAsia" w:ascii="Arial" w:hAnsi="Arial" w:cs="Arial"/>
          <w:color w:val="auto"/>
          <w:kern w:val="0"/>
          <w:sz w:val="24"/>
          <w:highlight w:val="none"/>
        </w:rPr>
        <w:t>规定，</w:t>
      </w:r>
      <w:r>
        <w:rPr>
          <w:rFonts w:ascii="Arial" w:hAnsi="Arial" w:cs="Arial"/>
          <w:color w:val="auto"/>
          <w:kern w:val="0"/>
          <w:sz w:val="24"/>
          <w:highlight w:val="none"/>
        </w:rPr>
        <w:t xml:space="preserve"> 在招标采购中，出现下列情形之一的，应予废标：</w:t>
      </w:r>
    </w:p>
    <w:p>
      <w:pPr>
        <w:widowControl/>
        <w:spacing w:line="380" w:lineRule="atLeast"/>
        <w:ind w:firstLine="480" w:firstLineChars="200"/>
        <w:jc w:val="left"/>
        <w:rPr>
          <w:rFonts w:ascii="宋体" w:hAnsi="宋体" w:eastAsia="宋体" w:cs="Arial"/>
          <w:color w:val="auto"/>
          <w:kern w:val="0"/>
          <w:sz w:val="24"/>
          <w:highlight w:val="none"/>
        </w:rPr>
      </w:pPr>
      <w:r>
        <w:rPr>
          <w:rFonts w:ascii="宋体" w:hAnsi="宋体" w:eastAsia="宋体" w:cs="Arial"/>
          <w:color w:val="auto"/>
          <w:kern w:val="0"/>
          <w:sz w:val="24"/>
          <w:highlight w:val="none"/>
        </w:rPr>
        <w:t>（</w:t>
      </w:r>
      <w:r>
        <w:rPr>
          <w:rFonts w:hint="eastAsia" w:ascii="宋体" w:hAnsi="宋体" w:eastAsia="宋体" w:cs="Arial"/>
          <w:color w:val="auto"/>
          <w:kern w:val="0"/>
          <w:sz w:val="24"/>
          <w:highlight w:val="none"/>
        </w:rPr>
        <w:t>1</w:t>
      </w:r>
      <w:r>
        <w:rPr>
          <w:rFonts w:ascii="宋体" w:hAnsi="宋体" w:eastAsia="宋体" w:cs="Arial"/>
          <w:color w:val="auto"/>
          <w:kern w:val="0"/>
          <w:sz w:val="24"/>
          <w:highlight w:val="none"/>
        </w:rPr>
        <w:t>）符合专业条件的供应商或者对招标文件作实质响应的供应商不足三家的；</w:t>
      </w:r>
    </w:p>
    <w:p>
      <w:pPr>
        <w:widowControl/>
        <w:spacing w:line="380" w:lineRule="atLeast"/>
        <w:ind w:firstLine="480" w:firstLineChars="200"/>
        <w:jc w:val="left"/>
        <w:rPr>
          <w:rFonts w:ascii="宋体" w:hAnsi="宋体" w:eastAsia="宋体" w:cs="Arial"/>
          <w:color w:val="auto"/>
          <w:kern w:val="0"/>
          <w:sz w:val="24"/>
          <w:highlight w:val="none"/>
        </w:rPr>
      </w:pPr>
      <w:r>
        <w:rPr>
          <w:rFonts w:ascii="宋体" w:hAnsi="宋体" w:eastAsia="宋体" w:cs="Arial"/>
          <w:color w:val="auto"/>
          <w:kern w:val="0"/>
          <w:sz w:val="24"/>
          <w:highlight w:val="none"/>
        </w:rPr>
        <w:t>（</w:t>
      </w:r>
      <w:r>
        <w:rPr>
          <w:rFonts w:hint="eastAsia" w:ascii="宋体" w:hAnsi="宋体" w:eastAsia="宋体" w:cs="Arial"/>
          <w:color w:val="auto"/>
          <w:kern w:val="0"/>
          <w:sz w:val="24"/>
          <w:highlight w:val="none"/>
        </w:rPr>
        <w:t>2</w:t>
      </w:r>
      <w:r>
        <w:rPr>
          <w:rFonts w:ascii="宋体" w:hAnsi="宋体" w:eastAsia="宋体" w:cs="Arial"/>
          <w:color w:val="auto"/>
          <w:kern w:val="0"/>
          <w:sz w:val="24"/>
          <w:highlight w:val="none"/>
        </w:rPr>
        <w:t>）出现影响采购公正的违法、违规行为的；</w:t>
      </w:r>
    </w:p>
    <w:p>
      <w:pPr>
        <w:widowControl/>
        <w:spacing w:line="380" w:lineRule="atLeast"/>
        <w:ind w:firstLine="480" w:firstLineChars="200"/>
        <w:jc w:val="left"/>
        <w:rPr>
          <w:rFonts w:ascii="宋体" w:hAnsi="宋体" w:eastAsia="宋体" w:cs="Arial"/>
          <w:color w:val="auto"/>
          <w:kern w:val="0"/>
          <w:sz w:val="24"/>
          <w:highlight w:val="none"/>
        </w:rPr>
      </w:pPr>
      <w:r>
        <w:rPr>
          <w:rFonts w:ascii="宋体" w:hAnsi="宋体" w:eastAsia="宋体" w:cs="Arial"/>
          <w:color w:val="auto"/>
          <w:kern w:val="0"/>
          <w:sz w:val="24"/>
          <w:highlight w:val="none"/>
        </w:rPr>
        <w:t>（</w:t>
      </w:r>
      <w:r>
        <w:rPr>
          <w:rFonts w:hint="eastAsia" w:ascii="宋体" w:hAnsi="宋体" w:eastAsia="宋体" w:cs="Arial"/>
          <w:color w:val="auto"/>
          <w:kern w:val="0"/>
          <w:sz w:val="24"/>
          <w:highlight w:val="none"/>
        </w:rPr>
        <w:t>3</w:t>
      </w:r>
      <w:r>
        <w:rPr>
          <w:rFonts w:ascii="宋体" w:hAnsi="宋体" w:eastAsia="宋体" w:cs="Arial"/>
          <w:color w:val="auto"/>
          <w:kern w:val="0"/>
          <w:sz w:val="24"/>
          <w:highlight w:val="none"/>
        </w:rPr>
        <w:t>）投标人的报价均超过了采购预算，采购人不能支付的；</w:t>
      </w:r>
    </w:p>
    <w:p>
      <w:pPr>
        <w:widowControl/>
        <w:spacing w:line="380" w:lineRule="atLeast"/>
        <w:ind w:firstLine="480" w:firstLineChars="200"/>
        <w:jc w:val="left"/>
        <w:rPr>
          <w:rFonts w:ascii="Arial" w:hAnsi="Arial" w:cs="Arial"/>
          <w:color w:val="auto"/>
          <w:kern w:val="0"/>
          <w:sz w:val="24"/>
          <w:highlight w:val="none"/>
        </w:rPr>
      </w:pPr>
      <w:r>
        <w:rPr>
          <w:rFonts w:ascii="宋体" w:hAnsi="宋体" w:eastAsia="宋体" w:cs="Arial"/>
          <w:color w:val="auto"/>
          <w:kern w:val="0"/>
          <w:sz w:val="24"/>
          <w:highlight w:val="none"/>
        </w:rPr>
        <w:t>（</w:t>
      </w:r>
      <w:r>
        <w:rPr>
          <w:rFonts w:hint="eastAsia" w:ascii="宋体" w:hAnsi="宋体" w:eastAsia="宋体" w:cs="Arial"/>
          <w:color w:val="auto"/>
          <w:kern w:val="0"/>
          <w:sz w:val="24"/>
          <w:highlight w:val="none"/>
        </w:rPr>
        <w:t>4</w:t>
      </w:r>
      <w:r>
        <w:rPr>
          <w:rFonts w:ascii="宋体" w:hAnsi="宋体" w:eastAsia="宋体" w:cs="Arial"/>
          <w:color w:val="auto"/>
          <w:kern w:val="0"/>
          <w:sz w:val="24"/>
          <w:highlight w:val="none"/>
        </w:rPr>
        <w:t>）</w:t>
      </w:r>
      <w:r>
        <w:rPr>
          <w:rFonts w:ascii="Arial" w:hAnsi="Arial" w:cs="Arial"/>
          <w:color w:val="auto"/>
          <w:kern w:val="0"/>
          <w:sz w:val="24"/>
          <w:highlight w:val="none"/>
        </w:rPr>
        <w:t>因重大变故，采购任务取消的。</w:t>
      </w:r>
    </w:p>
    <w:p>
      <w:pPr>
        <w:pStyle w:val="10"/>
        <w:spacing w:line="440" w:lineRule="exact"/>
        <w:ind w:firstLine="0"/>
        <w:rPr>
          <w:rFonts w:ascii="宋体" w:hAnsi="宋体"/>
          <w:b/>
          <w:color w:val="auto"/>
          <w:sz w:val="24"/>
          <w:highlight w:val="none"/>
        </w:rPr>
      </w:pPr>
      <w:r>
        <w:rPr>
          <w:rFonts w:hint="eastAsia" w:ascii="宋体" w:hAnsi="宋体"/>
          <w:b/>
          <w:color w:val="auto"/>
          <w:sz w:val="24"/>
          <w:highlight w:val="none"/>
        </w:rPr>
        <w:t>19、评审内容的保密</w:t>
      </w:r>
    </w:p>
    <w:p>
      <w:pPr>
        <w:pStyle w:val="34"/>
        <w:spacing w:before="0" w:line="440" w:lineRule="exact"/>
        <w:ind w:firstLine="480"/>
        <w:rPr>
          <w:rFonts w:ascii="宋体" w:hAnsi="宋体"/>
          <w:color w:val="auto"/>
          <w:szCs w:val="24"/>
          <w:highlight w:val="none"/>
        </w:rPr>
      </w:pPr>
      <w:r>
        <w:rPr>
          <w:rFonts w:hint="eastAsia" w:ascii="宋体" w:hAnsi="宋体"/>
          <w:color w:val="auto"/>
          <w:szCs w:val="24"/>
          <w:highlight w:val="none"/>
        </w:rPr>
        <w:t>19.1、凡属于审查、澄清、比较和评审的所有资料，都不应向谈判响应方或与评审无关的其他人泄漏。</w:t>
      </w:r>
    </w:p>
    <w:p>
      <w:pPr>
        <w:pStyle w:val="34"/>
        <w:spacing w:before="0" w:line="440" w:lineRule="exact"/>
        <w:ind w:firstLine="480"/>
        <w:rPr>
          <w:rFonts w:ascii="宋体" w:hAnsi="宋体"/>
          <w:b/>
          <w:color w:val="auto"/>
          <w:szCs w:val="24"/>
          <w:highlight w:val="none"/>
        </w:rPr>
      </w:pPr>
      <w:r>
        <w:rPr>
          <w:rFonts w:hint="eastAsia" w:ascii="宋体" w:hAnsi="宋体"/>
          <w:color w:val="auto"/>
          <w:szCs w:val="24"/>
          <w:highlight w:val="none"/>
        </w:rPr>
        <w:t>19.2、在响应文件的审查、澄清、评价和比较以及确定成交供应商过程中，谈判响应方对采购代理机构和谈判小组施加影响的违规行为，都将导致其不被推荐为成交候选人。</w:t>
      </w:r>
    </w:p>
    <w:p>
      <w:pPr>
        <w:pStyle w:val="34"/>
        <w:spacing w:before="0" w:line="440" w:lineRule="exact"/>
        <w:ind w:firstLine="0" w:firstLineChars="0"/>
        <w:rPr>
          <w:rFonts w:ascii="宋体" w:hAnsi="宋体"/>
          <w:b/>
          <w:color w:val="auto"/>
          <w:szCs w:val="24"/>
          <w:highlight w:val="none"/>
        </w:rPr>
      </w:pPr>
      <w:r>
        <w:rPr>
          <w:rFonts w:hint="eastAsia" w:ascii="宋体" w:hAnsi="宋体"/>
          <w:b/>
          <w:color w:val="auto"/>
          <w:szCs w:val="24"/>
          <w:highlight w:val="none"/>
        </w:rPr>
        <w:t xml:space="preserve">20、 </w:t>
      </w:r>
      <w:r>
        <w:rPr>
          <w:rFonts w:hint="eastAsia" w:ascii="宋体" w:hAnsi="宋体"/>
          <w:b/>
          <w:color w:val="auto"/>
          <w:highlight w:val="none"/>
        </w:rPr>
        <w:t>资格最终审查</w:t>
      </w:r>
    </w:p>
    <w:p>
      <w:pPr>
        <w:pStyle w:val="34"/>
        <w:spacing w:before="0" w:line="440" w:lineRule="exact"/>
        <w:ind w:firstLine="482"/>
        <w:rPr>
          <w:rFonts w:ascii="宋体" w:hAnsi="宋体"/>
          <w:b/>
          <w:color w:val="auto"/>
          <w:highlight w:val="none"/>
        </w:rPr>
      </w:pPr>
      <w:r>
        <w:rPr>
          <w:rFonts w:hint="eastAsia" w:ascii="宋体" w:hAnsi="宋体"/>
          <w:b/>
          <w:color w:val="auto"/>
          <w:highlight w:val="none"/>
        </w:rPr>
        <w:t>响应文件资格性检查和符合性检查通过，且</w:t>
      </w:r>
      <w:r>
        <w:rPr>
          <w:rFonts w:ascii="宋体" w:hAnsi="宋体"/>
          <w:b/>
          <w:color w:val="auto"/>
          <w:highlight w:val="none"/>
        </w:rPr>
        <w:t>符合采购需求、质量和服务的前提下，以提出最低报价的谈判响应方作为</w:t>
      </w:r>
      <w:r>
        <w:rPr>
          <w:rFonts w:hint="eastAsia" w:ascii="宋体" w:hAnsi="宋体"/>
          <w:b/>
          <w:color w:val="auto"/>
          <w:highlight w:val="none"/>
        </w:rPr>
        <w:t>成交候选人</w:t>
      </w:r>
      <w:r>
        <w:rPr>
          <w:rFonts w:ascii="宋体" w:hAnsi="宋体"/>
          <w:b/>
          <w:color w:val="auto"/>
          <w:highlight w:val="none"/>
        </w:rPr>
        <w:t>。</w:t>
      </w:r>
    </w:p>
    <w:p>
      <w:pPr>
        <w:pStyle w:val="34"/>
        <w:spacing w:before="0" w:line="440" w:lineRule="exact"/>
        <w:ind w:firstLine="0" w:firstLineChars="0"/>
        <w:rPr>
          <w:rFonts w:ascii="宋体" w:hAnsi="宋体"/>
          <w:b/>
          <w:color w:val="auto"/>
          <w:szCs w:val="24"/>
          <w:highlight w:val="none"/>
        </w:rPr>
      </w:pPr>
      <w:r>
        <w:rPr>
          <w:rFonts w:hint="eastAsia" w:ascii="宋体" w:hAnsi="宋体"/>
          <w:b/>
          <w:color w:val="auto"/>
          <w:szCs w:val="24"/>
          <w:highlight w:val="none"/>
        </w:rPr>
        <w:t>21、发布成交结果公告</w:t>
      </w:r>
    </w:p>
    <w:p>
      <w:pPr>
        <w:pStyle w:val="34"/>
        <w:spacing w:before="0" w:line="440" w:lineRule="exact"/>
        <w:ind w:firstLine="480"/>
        <w:rPr>
          <w:rFonts w:ascii="宋体" w:hAnsi="宋体"/>
          <w:color w:val="auto"/>
          <w:szCs w:val="24"/>
          <w:highlight w:val="none"/>
        </w:rPr>
      </w:pPr>
      <w:r>
        <w:rPr>
          <w:rFonts w:hint="eastAsia" w:ascii="宋体" w:hAnsi="宋体"/>
          <w:color w:val="auto"/>
          <w:szCs w:val="24"/>
          <w:highlight w:val="none"/>
        </w:rPr>
        <w:t>21.1、招标采购单位将在成交供应商确定之日起2个工作日内，将成交公告发布于以下网站：</w:t>
      </w:r>
    </w:p>
    <w:p>
      <w:pPr>
        <w:pStyle w:val="34"/>
        <w:spacing w:before="0" w:line="440" w:lineRule="exact"/>
        <w:ind w:firstLine="480"/>
        <w:rPr>
          <w:rFonts w:ascii="宋体" w:hAnsi="宋体"/>
          <w:color w:val="auto"/>
          <w:szCs w:val="24"/>
          <w:highlight w:val="none"/>
        </w:rPr>
      </w:pPr>
      <w:r>
        <w:rPr>
          <w:rFonts w:hint="eastAsia" w:ascii="宋体" w:hAnsi="宋体"/>
          <w:color w:val="auto"/>
          <w:szCs w:val="24"/>
          <w:highlight w:val="none"/>
        </w:rPr>
        <w:t>浙江省政府采购网(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Fonts w:hint="eastAsia" w:ascii="宋体" w:hAnsi="宋体"/>
          <w:color w:val="auto"/>
          <w:szCs w:val="24"/>
          <w:highlight w:val="none"/>
        </w:rPr>
        <w:t>http://www.zjzfcg.gov.cn</w:t>
      </w:r>
      <w:r>
        <w:rPr>
          <w:rFonts w:hint="eastAsia" w:ascii="宋体" w:hAnsi="宋体"/>
          <w:color w:val="auto"/>
          <w:szCs w:val="24"/>
          <w:highlight w:val="none"/>
        </w:rPr>
        <w:fldChar w:fldCharType="end"/>
      </w:r>
      <w:r>
        <w:rPr>
          <w:rFonts w:hint="eastAsia" w:ascii="宋体" w:hAnsi="宋体"/>
          <w:color w:val="auto"/>
          <w:szCs w:val="24"/>
          <w:highlight w:val="none"/>
        </w:rPr>
        <w:t>)；</w:t>
      </w:r>
    </w:p>
    <w:p>
      <w:pPr>
        <w:pStyle w:val="34"/>
        <w:spacing w:before="0" w:line="440" w:lineRule="exact"/>
        <w:ind w:firstLine="480"/>
        <w:rPr>
          <w:rFonts w:ascii="宋体" w:hAnsi="宋体"/>
          <w:color w:val="auto"/>
          <w:szCs w:val="24"/>
          <w:highlight w:val="none"/>
        </w:rPr>
      </w:pPr>
      <w:r>
        <w:rPr>
          <w:rFonts w:hint="eastAsia" w:ascii="宋体" w:hAnsi="宋体"/>
          <w:color w:val="auto"/>
          <w:szCs w:val="24"/>
          <w:highlight w:val="none"/>
        </w:rPr>
        <w:t>杭州市余杭区公共资源交易网（</w:t>
      </w:r>
      <w:r>
        <w:rPr>
          <w:color w:val="auto"/>
          <w:highlight w:val="none"/>
        </w:rPr>
        <w:fldChar w:fldCharType="begin"/>
      </w:r>
      <w:r>
        <w:rPr>
          <w:color w:val="auto"/>
          <w:highlight w:val="none"/>
        </w:rPr>
        <w:instrText xml:space="preserve"> HYPERLINK "http://www.yhggzy.com.cn" </w:instrText>
      </w:r>
      <w:r>
        <w:rPr>
          <w:color w:val="auto"/>
          <w:highlight w:val="none"/>
        </w:rPr>
        <w:fldChar w:fldCharType="separate"/>
      </w:r>
      <w:r>
        <w:rPr>
          <w:rFonts w:hint="eastAsia" w:ascii="宋体" w:hAnsi="宋体"/>
          <w:color w:val="auto"/>
          <w:szCs w:val="24"/>
          <w:highlight w:val="none"/>
        </w:rPr>
        <w:t>http://www.yhggzy.com.cn</w:t>
      </w:r>
      <w:r>
        <w:rPr>
          <w:rFonts w:hint="eastAsia" w:ascii="宋体" w:hAnsi="宋体"/>
          <w:color w:val="auto"/>
          <w:szCs w:val="24"/>
          <w:highlight w:val="none"/>
        </w:rPr>
        <w:fldChar w:fldCharType="end"/>
      </w:r>
      <w:r>
        <w:rPr>
          <w:rFonts w:hint="eastAsia" w:ascii="宋体" w:hAnsi="宋体"/>
          <w:color w:val="auto"/>
          <w:szCs w:val="24"/>
          <w:highlight w:val="none"/>
        </w:rPr>
        <w:t>）；</w:t>
      </w:r>
    </w:p>
    <w:p>
      <w:pPr>
        <w:pStyle w:val="34"/>
        <w:spacing w:before="0" w:line="440" w:lineRule="exact"/>
        <w:ind w:firstLine="480"/>
        <w:rPr>
          <w:rFonts w:ascii="宋体" w:hAnsi="宋体"/>
          <w:color w:val="auto"/>
          <w:szCs w:val="24"/>
          <w:highlight w:val="none"/>
        </w:rPr>
      </w:pPr>
      <w:r>
        <w:rPr>
          <w:rFonts w:hint="eastAsia" w:ascii="宋体" w:hAnsi="宋体"/>
          <w:color w:val="auto"/>
          <w:szCs w:val="24"/>
          <w:highlight w:val="none"/>
        </w:rPr>
        <w:t>杭州余杭政府门户网站（</w:t>
      </w:r>
      <w:r>
        <w:rPr>
          <w:color w:val="auto"/>
          <w:highlight w:val="none"/>
        </w:rPr>
        <w:fldChar w:fldCharType="begin"/>
      </w:r>
      <w:r>
        <w:rPr>
          <w:color w:val="auto"/>
          <w:highlight w:val="none"/>
        </w:rPr>
        <w:instrText xml:space="preserve"> HYPERLINK "http://www.yuhang.gov.cn" </w:instrText>
      </w:r>
      <w:r>
        <w:rPr>
          <w:color w:val="auto"/>
          <w:highlight w:val="none"/>
        </w:rPr>
        <w:fldChar w:fldCharType="separate"/>
      </w:r>
      <w:r>
        <w:rPr>
          <w:rFonts w:hint="eastAsia" w:ascii="宋体" w:hAnsi="宋体"/>
          <w:color w:val="auto"/>
          <w:szCs w:val="24"/>
          <w:highlight w:val="none"/>
        </w:rPr>
        <w:t>http://www.yuhang.gov.cn</w:t>
      </w:r>
      <w:r>
        <w:rPr>
          <w:rFonts w:hint="eastAsia" w:ascii="宋体" w:hAnsi="宋体"/>
          <w:color w:val="auto"/>
          <w:szCs w:val="24"/>
          <w:highlight w:val="none"/>
        </w:rPr>
        <w:fldChar w:fldCharType="end"/>
      </w:r>
      <w:r>
        <w:rPr>
          <w:rFonts w:hint="eastAsia" w:ascii="宋体" w:hAnsi="宋体"/>
          <w:color w:val="auto"/>
          <w:szCs w:val="24"/>
          <w:highlight w:val="none"/>
        </w:rPr>
        <w:t>）；</w:t>
      </w:r>
    </w:p>
    <w:p>
      <w:pPr>
        <w:pStyle w:val="34"/>
        <w:spacing w:before="0" w:line="440" w:lineRule="exact"/>
        <w:ind w:firstLine="480"/>
        <w:rPr>
          <w:rFonts w:ascii="宋体" w:hAnsi="宋体"/>
          <w:color w:val="auto"/>
          <w:szCs w:val="24"/>
          <w:highlight w:val="none"/>
        </w:rPr>
      </w:pPr>
      <w:r>
        <w:rPr>
          <w:rFonts w:hint="eastAsia" w:ascii="宋体" w:hAnsi="宋体"/>
          <w:color w:val="auto"/>
          <w:szCs w:val="24"/>
          <w:highlight w:val="none"/>
        </w:rPr>
        <w:t>对于未成交单位，将不再另行通知，招标采购单位无义务解释未成交原因。</w:t>
      </w:r>
    </w:p>
    <w:p>
      <w:pPr>
        <w:pStyle w:val="34"/>
        <w:spacing w:before="0" w:line="440" w:lineRule="exact"/>
        <w:ind w:firstLine="480"/>
        <w:rPr>
          <w:rFonts w:ascii="宋体" w:hAnsi="宋体"/>
          <w:color w:val="auto"/>
          <w:highlight w:val="none"/>
        </w:rPr>
      </w:pPr>
      <w:r>
        <w:rPr>
          <w:rFonts w:hint="eastAsia" w:ascii="宋体" w:hAnsi="宋体"/>
          <w:color w:val="auto"/>
          <w:szCs w:val="24"/>
          <w:highlight w:val="none"/>
        </w:rPr>
        <w:t>21.2、</w:t>
      </w:r>
      <w:r>
        <w:rPr>
          <w:rFonts w:hint="eastAsia" w:ascii="宋体" w:hAnsi="宋体"/>
          <w:color w:val="auto"/>
          <w:highlight w:val="none"/>
        </w:rPr>
        <w:t>成交公告发布后，招标采购单位将以书面形式发出成交通知书，成交通知书一经发出即发生法律效力。成交通知书将作为签订合同的依据。</w:t>
      </w:r>
    </w:p>
    <w:p>
      <w:pPr>
        <w:adjustRightInd w:val="0"/>
        <w:snapToGrid w:val="0"/>
        <w:spacing w:line="440" w:lineRule="exact"/>
        <w:ind w:left="482" w:hanging="482" w:hangingChars="200"/>
        <w:rPr>
          <w:rFonts w:ascii="宋体" w:hAnsi="宋体"/>
          <w:b/>
          <w:color w:val="auto"/>
          <w:sz w:val="24"/>
          <w:highlight w:val="none"/>
        </w:rPr>
      </w:pPr>
      <w:r>
        <w:rPr>
          <w:rFonts w:hint="eastAsia" w:ascii="宋体" w:hAnsi="宋体"/>
          <w:b/>
          <w:color w:val="auto"/>
          <w:sz w:val="24"/>
          <w:highlight w:val="none"/>
        </w:rPr>
        <w:t>22、签订合同</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22.1、采购人与成交供应商应当在成交通知书发出之日起30日内签订政府采购合同。</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22.2、采购文件、成交供应商的响应文件、澄清文件及成交通知书等，均为签订合同的依据。</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22.3、成交供应商不遵守采购文件或响应文件的要约、承诺，擅自修改报价或在接到成交通知书规定时间内借故拖延、拒签合同者采购代理机构有权取消该单位的成交资格，与下一成交候选人签订合同或重新组织采购。</w:t>
      </w:r>
    </w:p>
    <w:p>
      <w:pPr>
        <w:pStyle w:val="34"/>
        <w:spacing w:before="0" w:line="440" w:lineRule="exact"/>
        <w:ind w:firstLine="0" w:firstLineChars="0"/>
        <w:rPr>
          <w:rFonts w:ascii="宋体" w:hAnsi="宋体"/>
          <w:color w:val="auto"/>
          <w:szCs w:val="24"/>
          <w:highlight w:val="none"/>
        </w:rPr>
      </w:pPr>
      <w:r>
        <w:rPr>
          <w:rFonts w:hint="eastAsia" w:ascii="宋体" w:hAnsi="宋体"/>
          <w:b/>
          <w:color w:val="auto"/>
          <w:szCs w:val="24"/>
          <w:highlight w:val="none"/>
        </w:rPr>
        <w:t>23、合同备案：</w:t>
      </w:r>
      <w:r>
        <w:rPr>
          <w:rFonts w:hint="eastAsia" w:ascii="宋体" w:hAnsi="宋体"/>
          <w:color w:val="auto"/>
          <w:szCs w:val="24"/>
          <w:highlight w:val="none"/>
        </w:rPr>
        <w:t>政府采购合同一式多份，除单次采购金额在</w:t>
      </w:r>
      <w:r>
        <w:rPr>
          <w:rFonts w:hint="eastAsia" w:ascii="宋体" w:hAnsi="宋体" w:cs="宋体"/>
          <w:color w:val="auto"/>
          <w:szCs w:val="24"/>
          <w:highlight w:val="none"/>
          <w:lang w:eastAsia="zh-CN"/>
        </w:rPr>
        <w:t>三十万</w:t>
      </w:r>
      <w:r>
        <w:rPr>
          <w:rFonts w:hint="eastAsia" w:ascii="宋体" w:hAnsi="宋体" w:cs="宋体"/>
          <w:color w:val="auto"/>
          <w:szCs w:val="24"/>
          <w:highlight w:val="none"/>
        </w:rPr>
        <w:t>元</w:t>
      </w:r>
      <w:r>
        <w:rPr>
          <w:rFonts w:hint="eastAsia" w:ascii="宋体" w:hAnsi="宋体"/>
          <w:color w:val="auto"/>
          <w:szCs w:val="24"/>
          <w:highlight w:val="none"/>
        </w:rPr>
        <w:t>以上的货物类采购项目须提供三份外，其余须提供两份到余杭区公共资源交易中心备案。</w:t>
      </w:r>
    </w:p>
    <w:p>
      <w:pPr>
        <w:pStyle w:val="34"/>
        <w:spacing w:before="0" w:line="440" w:lineRule="exact"/>
        <w:ind w:firstLine="0" w:firstLineChars="0"/>
        <w:rPr>
          <w:rFonts w:ascii="宋体" w:hAnsi="宋体"/>
          <w:color w:val="auto"/>
          <w:szCs w:val="24"/>
          <w:highlight w:val="none"/>
        </w:rPr>
      </w:pPr>
      <w:r>
        <w:rPr>
          <w:rFonts w:hint="eastAsia" w:ascii="宋体" w:hAnsi="宋体"/>
          <w:b/>
          <w:color w:val="auto"/>
          <w:szCs w:val="24"/>
          <w:highlight w:val="none"/>
        </w:rPr>
        <w:t>24、</w:t>
      </w:r>
      <w:r>
        <w:rPr>
          <w:rFonts w:hint="eastAsia" w:ascii="宋体" w:hAnsi="宋体"/>
          <w:color w:val="auto"/>
          <w:szCs w:val="24"/>
          <w:highlight w:val="none"/>
        </w:rPr>
        <w:t>履约保证金、质量保证金</w:t>
      </w:r>
    </w:p>
    <w:p>
      <w:pPr>
        <w:adjustRightInd w:val="0"/>
        <w:snapToGrid w:val="0"/>
        <w:spacing w:line="600" w:lineRule="exact"/>
        <w:ind w:firstLine="480" w:firstLineChars="200"/>
        <w:rPr>
          <w:rFonts w:ascii="宋体" w:hAnsi="宋体"/>
          <w:color w:val="auto"/>
          <w:szCs w:val="24"/>
          <w:highlight w:val="none"/>
        </w:rPr>
      </w:pPr>
      <w:r>
        <w:rPr>
          <w:rFonts w:hint="eastAsia" w:ascii="宋体" w:hAnsi="宋体"/>
          <w:color w:val="auto"/>
          <w:sz w:val="24"/>
          <w:highlight w:val="none"/>
        </w:rPr>
        <w:t>24.1、履约保证金、质量保证金根据不同采购人的采购需求而定。</w:t>
      </w:r>
    </w:p>
    <w:p>
      <w:pPr>
        <w:pStyle w:val="34"/>
        <w:spacing w:before="0" w:line="440" w:lineRule="exact"/>
        <w:ind w:firstLine="480"/>
        <w:rPr>
          <w:rFonts w:ascii="宋体" w:hAnsi="宋体"/>
          <w:color w:val="auto"/>
          <w:szCs w:val="24"/>
          <w:highlight w:val="none"/>
        </w:rPr>
      </w:pPr>
      <w:r>
        <w:rPr>
          <w:rFonts w:hint="eastAsia" w:ascii="宋体" w:hAnsi="宋体"/>
          <w:color w:val="auto"/>
          <w:highlight w:val="none"/>
        </w:rPr>
        <w:t>24.2、履约保证金、</w:t>
      </w:r>
      <w:r>
        <w:rPr>
          <w:rFonts w:hint="eastAsia" w:ascii="宋体" w:hAnsi="宋体"/>
          <w:color w:val="auto"/>
          <w:szCs w:val="24"/>
          <w:highlight w:val="none"/>
        </w:rPr>
        <w:t>质量保证金均由采购人收取。</w:t>
      </w:r>
    </w:p>
    <w:p>
      <w:pPr>
        <w:adjustRightInd w:val="0"/>
        <w:snapToGrid w:val="0"/>
        <w:spacing w:line="440" w:lineRule="exact"/>
        <w:rPr>
          <w:rFonts w:ascii="宋体" w:hAnsi="宋体" w:cs="宋体"/>
          <w:color w:val="auto"/>
          <w:sz w:val="24"/>
          <w:highlight w:val="none"/>
        </w:rPr>
      </w:pPr>
      <w:r>
        <w:rPr>
          <w:rFonts w:hint="eastAsia" w:ascii="宋体" w:hAnsi="宋体" w:eastAsia="宋体"/>
          <w:b/>
          <w:color w:val="auto"/>
          <w:sz w:val="24"/>
          <w:szCs w:val="20"/>
          <w:highlight w:val="none"/>
        </w:rPr>
        <w:t>25、</w:t>
      </w:r>
      <w:r>
        <w:rPr>
          <w:rFonts w:hint="eastAsia" w:ascii="宋体" w:hAnsi="宋体" w:eastAsia="宋体" w:cs="宋体"/>
          <w:b/>
          <w:bCs/>
          <w:color w:val="auto"/>
          <w:sz w:val="24"/>
          <w:highlight w:val="none"/>
        </w:rPr>
        <w:t>验收：</w:t>
      </w:r>
      <w:r>
        <w:rPr>
          <w:rFonts w:hint="eastAsia" w:ascii="宋体" w:hAnsi="宋体" w:eastAsia="宋体" w:cs="宋体"/>
          <w:color w:val="auto"/>
          <w:sz w:val="24"/>
          <w:highlight w:val="none"/>
        </w:rPr>
        <w:t>采购人有权对本项目的服务进行验收或考核。对不按采购文件、</w:t>
      </w:r>
      <w:r>
        <w:rPr>
          <w:rFonts w:hint="eastAsia" w:ascii="宋体" w:hAnsi="宋体" w:cs="宋体"/>
          <w:color w:val="auto"/>
          <w:sz w:val="24"/>
          <w:highlight w:val="none"/>
        </w:rPr>
        <w:t>投标承诺及政府采购合同要求提供服务的供应商，政府采购行政监管部门将依据《中华人民共和国政府采购法》、《中华人民共和国政府采购法实施条例》等相关法律法规的规定，将由相关部门进行处罚。</w:t>
      </w:r>
    </w:p>
    <w:p>
      <w:pPr>
        <w:pStyle w:val="34"/>
        <w:numPr>
          <w:ilvl w:val="0"/>
          <w:numId w:val="3"/>
        </w:numPr>
        <w:spacing w:before="0" w:line="440" w:lineRule="exact"/>
        <w:ind w:firstLineChars="0"/>
        <w:jc w:val="center"/>
        <w:rPr>
          <w:rFonts w:ascii="宋体" w:hAnsi="宋体"/>
          <w:b/>
          <w:bCs/>
          <w:color w:val="auto"/>
          <w:highlight w:val="none"/>
        </w:rPr>
      </w:pPr>
      <w:r>
        <w:rPr>
          <w:rFonts w:hint="eastAsia" w:ascii="宋体" w:hAnsi="宋体"/>
          <w:b/>
          <w:bCs/>
          <w:color w:val="auto"/>
          <w:highlight w:val="none"/>
        </w:rPr>
        <w:t>供应商须知之专用条款</w:t>
      </w:r>
    </w:p>
    <w:p>
      <w:pPr>
        <w:pStyle w:val="34"/>
        <w:spacing w:before="0" w:line="440" w:lineRule="exact"/>
        <w:ind w:firstLine="0" w:firstLineChars="0"/>
        <w:rPr>
          <w:rFonts w:ascii="宋体" w:hAnsi="宋体"/>
          <w:b/>
          <w:color w:val="auto"/>
          <w:szCs w:val="24"/>
          <w:highlight w:val="none"/>
        </w:rPr>
      </w:pPr>
      <w:r>
        <w:rPr>
          <w:rFonts w:hint="eastAsia" w:ascii="宋体" w:hAnsi="宋体" w:cs="宋体"/>
          <w:b/>
          <w:color w:val="auto"/>
          <w:kern w:val="0"/>
          <w:szCs w:val="24"/>
          <w:highlight w:val="none"/>
        </w:rPr>
        <w:t>26、响应文件组成</w:t>
      </w:r>
      <w:r>
        <w:rPr>
          <w:rFonts w:hint="eastAsia" w:ascii="宋体" w:hAnsi="宋体"/>
          <w:b/>
          <w:color w:val="auto"/>
          <w:szCs w:val="24"/>
          <w:highlight w:val="none"/>
        </w:rPr>
        <w:t>（加“</w:t>
      </w:r>
      <w:r>
        <w:rPr>
          <w:rFonts w:hint="eastAsia" w:ascii="宋体" w:hAnsi="宋体" w:cs="宋体"/>
          <w:b/>
          <w:color w:val="auto"/>
          <w:kern w:val="0"/>
          <w:szCs w:val="24"/>
          <w:highlight w:val="none"/>
        </w:rPr>
        <w:t>▲</w:t>
      </w:r>
      <w:r>
        <w:rPr>
          <w:rFonts w:hint="eastAsia" w:ascii="宋体" w:hAnsi="宋体"/>
          <w:b/>
          <w:color w:val="auto"/>
          <w:szCs w:val="24"/>
          <w:highlight w:val="none"/>
        </w:rPr>
        <w:t>”的资料为必须提供，否则将视为无效处理）</w:t>
      </w:r>
    </w:p>
    <w:p>
      <w:pPr>
        <w:adjustRightInd w:val="0"/>
        <w:snapToGrid w:val="0"/>
        <w:spacing w:line="440" w:lineRule="exact"/>
        <w:ind w:firstLine="480" w:firstLineChars="200"/>
        <w:rPr>
          <w:rFonts w:ascii="宋体" w:hAnsi="宋体"/>
          <w:b/>
          <w:color w:val="auto"/>
          <w:sz w:val="24"/>
          <w:highlight w:val="none"/>
        </w:rPr>
      </w:pPr>
      <w:r>
        <w:rPr>
          <w:rFonts w:hint="eastAsia" w:ascii="宋体" w:hAnsi="宋体"/>
          <w:color w:val="auto"/>
          <w:sz w:val="24"/>
          <w:szCs w:val="24"/>
          <w:highlight w:val="none"/>
        </w:rPr>
        <w:t>部分格式可参考“第五部分 响应文件格式”，未提供参考格式的由谈判响应方根据相关要求自行编制。响应文件一般应当包括以下主要内容</w:t>
      </w:r>
      <w:r>
        <w:rPr>
          <w:rFonts w:hint="eastAsia" w:ascii="宋体" w:hAnsi="宋体"/>
          <w:color w:val="auto"/>
          <w:highlight w:val="none"/>
        </w:rPr>
        <w:t>(</w:t>
      </w:r>
      <w:r>
        <w:rPr>
          <w:rFonts w:hint="eastAsia" w:ascii="宋体" w:hAnsi="宋体"/>
          <w:b/>
          <w:color w:val="auto"/>
          <w:sz w:val="24"/>
          <w:highlight w:val="none"/>
        </w:rPr>
        <w:t>注意：响应文件封面、初次报价表、谈判响应函、授权委托书须加盖单位公章，初次报价表、谈判响应函须经法定代表人（或授权代表）签字，否则视为无效)</w:t>
      </w:r>
    </w:p>
    <w:p>
      <w:pPr>
        <w:spacing w:line="440" w:lineRule="exact"/>
        <w:ind w:firstLine="720" w:firstLineChars="300"/>
        <w:rPr>
          <w:rFonts w:ascii="宋体" w:hAnsi="宋体"/>
          <w:color w:val="auto"/>
          <w:sz w:val="24"/>
          <w:highlight w:val="none"/>
        </w:rPr>
      </w:pPr>
      <w:r>
        <w:rPr>
          <w:rFonts w:hint="eastAsia" w:ascii="宋体" w:hAnsi="宋体"/>
          <w:color w:val="auto"/>
          <w:sz w:val="24"/>
          <w:highlight w:val="none"/>
        </w:rPr>
        <w:t>26.1、</w:t>
      </w:r>
      <w:r>
        <w:rPr>
          <w:rFonts w:hint="eastAsia" w:ascii="宋体" w:hAnsi="宋体" w:cs="仿宋_GB2312"/>
          <w:color w:val="auto"/>
          <w:sz w:val="24"/>
          <w:highlight w:val="none"/>
          <w:lang w:val="zh-CN"/>
        </w:rPr>
        <w:t>目录；</w:t>
      </w:r>
    </w:p>
    <w:p>
      <w:pPr>
        <w:spacing w:line="440" w:lineRule="exact"/>
        <w:ind w:firstLine="525" w:firstLineChars="250"/>
        <w:rPr>
          <w:rFonts w:ascii="宋体" w:hAnsi="宋体" w:cs="仿宋_GB2312"/>
          <w:color w:val="auto"/>
          <w:sz w:val="24"/>
          <w:highlight w:val="none"/>
          <w:lang w:val="zh-CN"/>
        </w:rPr>
      </w:pPr>
      <w:r>
        <w:rPr>
          <w:rFonts w:hint="eastAsia" w:ascii="宋体" w:hAnsi="宋体" w:cs="宋体"/>
          <w:color w:val="auto"/>
          <w:kern w:val="0"/>
          <w:szCs w:val="24"/>
          <w:highlight w:val="none"/>
        </w:rPr>
        <w:t>▲</w:t>
      </w:r>
      <w:r>
        <w:rPr>
          <w:rFonts w:hint="eastAsia" w:ascii="宋体" w:hAnsi="宋体"/>
          <w:color w:val="auto"/>
          <w:sz w:val="24"/>
          <w:highlight w:val="none"/>
        </w:rPr>
        <w:t>26.2、</w:t>
      </w:r>
      <w:r>
        <w:rPr>
          <w:rFonts w:hint="eastAsia" w:ascii="宋体" w:hAnsi="宋体" w:cs="仿宋_GB2312"/>
          <w:color w:val="auto"/>
          <w:sz w:val="24"/>
          <w:highlight w:val="none"/>
          <w:lang w:val="zh-CN"/>
        </w:rPr>
        <w:t>谈判响应函；</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▲26.3、</w:t>
      </w:r>
      <w:r>
        <w:rPr>
          <w:rFonts w:hint="eastAsia" w:ascii="宋体" w:hAnsi="宋体" w:cs="宋体"/>
          <w:bCs/>
          <w:color w:val="auto"/>
          <w:sz w:val="24"/>
          <w:highlight w:val="none"/>
        </w:rPr>
        <w:t>营业执照（或事业单位法人登记证书或其他工商等登记证明材料）复印件</w:t>
      </w:r>
      <w:r>
        <w:rPr>
          <w:rFonts w:hint="eastAsia" w:ascii="宋体" w:hAnsi="宋体" w:cs="宋体"/>
          <w:color w:val="auto"/>
          <w:kern w:val="0"/>
          <w:sz w:val="24"/>
          <w:szCs w:val="24"/>
          <w:highlight w:val="none"/>
        </w:rPr>
        <w:t>；</w:t>
      </w:r>
    </w:p>
    <w:p>
      <w:pPr>
        <w:pStyle w:val="12"/>
        <w:spacing w:line="440" w:lineRule="exact"/>
        <w:ind w:firstLine="480" w:firstLineChars="200"/>
        <w:rPr>
          <w:rFonts w:hAnsi="宋体"/>
          <w:color w:val="auto"/>
          <w:sz w:val="24"/>
          <w:highlight w:val="none"/>
        </w:rPr>
      </w:pPr>
      <w:r>
        <w:rPr>
          <w:rFonts w:hint="eastAsia" w:hAnsi="宋体" w:cs="宋体"/>
          <w:color w:val="auto"/>
          <w:kern w:val="0"/>
          <w:sz w:val="24"/>
          <w:szCs w:val="24"/>
          <w:highlight w:val="none"/>
        </w:rPr>
        <w:t>▲</w:t>
      </w:r>
      <w:r>
        <w:rPr>
          <w:rFonts w:hint="eastAsia" w:hAnsi="宋体"/>
          <w:color w:val="auto"/>
          <w:sz w:val="24"/>
          <w:highlight w:val="none"/>
        </w:rPr>
        <w:t>26.4、组织机构代码证、社保登记证（或供应商一年内缴纳过的社保缴纳花名册）、税务登记证，提供复印件；</w:t>
      </w:r>
      <w:r>
        <w:rPr>
          <w:rFonts w:hint="eastAsia" w:hAnsi="宋体"/>
          <w:color w:val="auto"/>
          <w:sz w:val="24"/>
          <w:szCs w:val="24"/>
          <w:highlight w:val="none"/>
        </w:rPr>
        <w:t>（采购文件另有规定除外）</w:t>
      </w:r>
    </w:p>
    <w:p>
      <w:pPr>
        <w:spacing w:line="440" w:lineRule="exact"/>
        <w:ind w:firstLine="420" w:firstLineChars="200"/>
        <w:rPr>
          <w:rFonts w:ascii="Arial" w:hAnsi="Arial" w:cs="Arial"/>
          <w:color w:val="auto"/>
          <w:kern w:val="0"/>
          <w:sz w:val="24"/>
          <w:highlight w:val="none"/>
        </w:rPr>
      </w:pPr>
      <w:r>
        <w:rPr>
          <w:rFonts w:hint="eastAsia" w:ascii="宋体" w:hAnsi="宋体" w:cs="宋体"/>
          <w:color w:val="auto"/>
          <w:kern w:val="0"/>
          <w:szCs w:val="24"/>
          <w:highlight w:val="none"/>
        </w:rPr>
        <w:t>▲</w:t>
      </w:r>
      <w:r>
        <w:rPr>
          <w:rFonts w:hint="eastAsia" w:ascii="宋体" w:hAnsi="宋体"/>
          <w:color w:val="auto"/>
          <w:sz w:val="24"/>
          <w:highlight w:val="none"/>
        </w:rPr>
        <w:t>26.5、</w:t>
      </w:r>
      <w:r>
        <w:rPr>
          <w:rFonts w:ascii="Arial" w:hAnsi="Arial" w:cs="Arial"/>
          <w:color w:val="auto"/>
          <w:kern w:val="0"/>
          <w:sz w:val="24"/>
          <w:highlight w:val="none"/>
        </w:rPr>
        <w:t>金融、保险、通讯等特定行业的全国性企业所设立的区域性分支机构，以及个体工商户、个人独资企业、合伙企业独立参加政府采购活动</w:t>
      </w:r>
      <w:r>
        <w:rPr>
          <w:rFonts w:hint="eastAsia" w:ascii="Arial" w:hAnsi="Arial" w:cs="Arial"/>
          <w:color w:val="auto"/>
          <w:kern w:val="0"/>
          <w:sz w:val="24"/>
          <w:highlight w:val="none"/>
        </w:rPr>
        <w:t>时还须提供：</w:t>
      </w:r>
      <w:r>
        <w:rPr>
          <w:rFonts w:ascii="Arial" w:hAnsi="Arial" w:cs="Arial"/>
          <w:color w:val="auto"/>
          <w:kern w:val="0"/>
          <w:sz w:val="24"/>
          <w:highlight w:val="none"/>
        </w:rPr>
        <w:t>总公司（总机构）授权</w:t>
      </w:r>
      <w:r>
        <w:rPr>
          <w:rFonts w:hint="eastAsia" w:ascii="Arial" w:hAnsi="Arial" w:cs="Arial"/>
          <w:color w:val="auto"/>
          <w:kern w:val="0"/>
          <w:sz w:val="24"/>
          <w:highlight w:val="none"/>
        </w:rPr>
        <w:t>原件</w:t>
      </w:r>
      <w:r>
        <w:rPr>
          <w:rFonts w:ascii="Arial" w:hAnsi="Arial" w:cs="Arial"/>
          <w:color w:val="auto"/>
          <w:kern w:val="0"/>
          <w:sz w:val="24"/>
          <w:highlight w:val="none"/>
        </w:rPr>
        <w:t>或房产权证</w:t>
      </w:r>
      <w:r>
        <w:rPr>
          <w:rFonts w:hint="eastAsia" w:ascii="Arial" w:hAnsi="Arial" w:cs="Arial"/>
          <w:color w:val="auto"/>
          <w:kern w:val="0"/>
          <w:sz w:val="24"/>
          <w:highlight w:val="none"/>
        </w:rPr>
        <w:t>(复印件)</w:t>
      </w:r>
      <w:r>
        <w:rPr>
          <w:rFonts w:ascii="Arial" w:hAnsi="Arial" w:cs="Arial"/>
          <w:color w:val="auto"/>
          <w:kern w:val="0"/>
          <w:sz w:val="24"/>
          <w:highlight w:val="none"/>
        </w:rPr>
        <w:t>或其他有效财产证明材料</w:t>
      </w:r>
      <w:r>
        <w:rPr>
          <w:rFonts w:hint="eastAsia" w:ascii="Arial" w:hAnsi="Arial" w:cs="Arial"/>
          <w:color w:val="auto"/>
          <w:kern w:val="0"/>
          <w:sz w:val="24"/>
          <w:highlight w:val="none"/>
        </w:rPr>
        <w:t>(复印件) ；</w:t>
      </w:r>
    </w:p>
    <w:p>
      <w:pPr>
        <w:spacing w:line="440" w:lineRule="exact"/>
        <w:ind w:firstLine="420" w:firstLineChars="200"/>
        <w:rPr>
          <w:rFonts w:hint="eastAsia" w:ascii="宋体" w:hAnsi="宋体" w:eastAsia="宋体"/>
          <w:color w:val="auto"/>
          <w:sz w:val="24"/>
          <w:highlight w:val="none"/>
          <w:lang w:val="en-US" w:eastAsia="zh-CN"/>
        </w:rPr>
      </w:pPr>
      <w:r>
        <w:rPr>
          <w:rFonts w:hint="eastAsia" w:ascii="宋体" w:hAnsi="宋体" w:cs="宋体"/>
          <w:color w:val="auto"/>
          <w:kern w:val="0"/>
          <w:szCs w:val="24"/>
          <w:highlight w:val="none"/>
        </w:rPr>
        <w:t>▲</w:t>
      </w:r>
      <w:r>
        <w:rPr>
          <w:rFonts w:hint="eastAsia" w:ascii="宋体" w:hAnsi="宋体"/>
          <w:color w:val="auto"/>
          <w:sz w:val="24"/>
          <w:highlight w:val="none"/>
        </w:rPr>
        <w:t>26.6、</w:t>
      </w:r>
      <w:r>
        <w:rPr>
          <w:rFonts w:hint="eastAsia" w:ascii="宋体" w:hAnsi="宋体" w:cs="宋体"/>
          <w:color w:val="auto"/>
          <w:sz w:val="24"/>
          <w:highlight w:val="none"/>
        </w:rPr>
        <w:t>法定代表人授权委托书原件、授权代表的身份证正反面复印件、</w:t>
      </w:r>
      <w:r>
        <w:rPr>
          <w:rFonts w:hint="eastAsia" w:ascii="宋体" w:hAnsi="宋体" w:cs="宋体"/>
          <w:color w:val="auto"/>
          <w:sz w:val="24"/>
          <w:highlight w:val="none"/>
          <w:lang w:eastAsia="zh-CN"/>
        </w:rPr>
        <w:t>法定</w:t>
      </w:r>
      <w:r>
        <w:rPr>
          <w:rFonts w:hint="eastAsia" w:ascii="宋体" w:hAnsi="宋体" w:cs="宋体"/>
          <w:color w:val="auto"/>
          <w:sz w:val="24"/>
          <w:highlight w:val="none"/>
        </w:rPr>
        <w:t>代表</w:t>
      </w:r>
      <w:r>
        <w:rPr>
          <w:rFonts w:hint="eastAsia" w:ascii="宋体" w:hAnsi="宋体" w:cs="宋体"/>
          <w:color w:val="auto"/>
          <w:sz w:val="24"/>
          <w:highlight w:val="none"/>
          <w:lang w:eastAsia="zh-CN"/>
        </w:rPr>
        <w:t>人</w:t>
      </w:r>
      <w:r>
        <w:rPr>
          <w:rFonts w:hint="eastAsia" w:ascii="宋体" w:hAnsi="宋体" w:cs="宋体"/>
          <w:color w:val="auto"/>
          <w:sz w:val="24"/>
          <w:highlight w:val="none"/>
        </w:rPr>
        <w:t>身份证正反面复印件、授权代表在本</w:t>
      </w:r>
      <w:r>
        <w:rPr>
          <w:rFonts w:hint="eastAsia" w:ascii="宋体" w:hAnsi="宋体" w:cs="宋体"/>
          <w:color w:val="auto"/>
          <w:sz w:val="24"/>
          <w:highlight w:val="none"/>
          <w:lang w:eastAsia="zh-CN"/>
        </w:rPr>
        <w:t>单位近三个月（</w:t>
      </w:r>
      <w:r>
        <w:rPr>
          <w:rFonts w:hint="eastAsia" w:ascii="宋体" w:hAnsi="宋体" w:cs="宋体"/>
          <w:color w:val="auto"/>
          <w:sz w:val="24"/>
          <w:highlight w:val="none"/>
          <w:lang w:val="en-US" w:eastAsia="zh-CN"/>
        </w:rPr>
        <w:t>2019年6</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月）</w:t>
      </w:r>
      <w:r>
        <w:rPr>
          <w:rFonts w:hint="eastAsia" w:ascii="宋体" w:hAnsi="宋体" w:cs="宋体"/>
          <w:color w:val="auto"/>
          <w:sz w:val="24"/>
          <w:highlight w:val="none"/>
        </w:rPr>
        <w:t>社保缴纳证明（加盖社保部门公章）。（法定代表授权委托书必须按照第五部分 响应文件格式，如法定代表人直接参加投标并对相应文件签字的，只需提供其身份证正反面复印件）</w:t>
      </w:r>
      <w:r>
        <w:rPr>
          <w:rFonts w:hint="eastAsia" w:ascii="宋体" w:hAnsi="宋体"/>
          <w:color w:val="auto"/>
          <w:sz w:val="24"/>
          <w:highlight w:val="none"/>
        </w:rPr>
        <w:t>；</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▲26.7、无失信行为承诺书（格式见第五部分 响应文件格式）；</w:t>
      </w:r>
    </w:p>
    <w:p>
      <w:pPr>
        <w:widowControl w:val="0"/>
        <w:wordWrap/>
        <w:adjustRightInd/>
        <w:snapToGrid/>
        <w:spacing w:line="500" w:lineRule="exact"/>
        <w:ind w:right="0"/>
        <w:jc w:val="both"/>
        <w:textAlignment w:val="auto"/>
        <w:outlineLvl w:val="9"/>
        <w:rPr>
          <w:rFonts w:hint="eastAsia" w:ascii="宋体" w:hAnsi="宋体"/>
          <w:color w:val="auto"/>
          <w:sz w:val="24"/>
          <w:highlight w:val="none"/>
        </w:rPr>
      </w:pPr>
      <w:r>
        <w:rPr>
          <w:rFonts w:hint="eastAsia" w:ascii="宋体" w:hAnsi="宋体" w:cs="宋体"/>
          <w:bCs/>
          <w:color w:val="auto"/>
          <w:kern w:val="0"/>
          <w:sz w:val="24"/>
          <w:szCs w:val="24"/>
          <w:highlight w:val="none"/>
          <w:lang w:val="en-US" w:eastAsia="zh-CN"/>
        </w:rPr>
        <w:t xml:space="preserve">    </w:t>
      </w:r>
      <w:r>
        <w:rPr>
          <w:rFonts w:hint="eastAsia" w:ascii="宋体" w:hAnsi="宋体" w:cs="宋体"/>
          <w:bCs/>
          <w:color w:val="auto"/>
          <w:kern w:val="0"/>
          <w:sz w:val="24"/>
          <w:szCs w:val="24"/>
          <w:highlight w:val="none"/>
        </w:rPr>
        <w:t>26.8、</w:t>
      </w:r>
      <w:r>
        <w:rPr>
          <w:rFonts w:hint="eastAsia" w:ascii="宋体" w:hAnsi="宋体" w:eastAsia="宋体" w:cs="宋体"/>
          <w:b w:val="0"/>
          <w:bCs w:val="0"/>
          <w:color w:val="auto"/>
          <w:sz w:val="24"/>
          <w:szCs w:val="24"/>
          <w:highlight w:val="none"/>
        </w:rPr>
        <w:t>中小企业</w:t>
      </w:r>
      <w:r>
        <w:rPr>
          <w:rFonts w:hint="eastAsia" w:ascii="宋体" w:hAnsi="宋体" w:eastAsia="宋体" w:cs="宋体"/>
          <w:b w:val="0"/>
          <w:bCs w:val="0"/>
          <w:color w:val="auto"/>
          <w:sz w:val="24"/>
          <w:szCs w:val="24"/>
          <w:highlight w:val="none"/>
          <w:lang w:eastAsia="zh-CN"/>
        </w:rPr>
        <w:t>声</w:t>
      </w:r>
      <w:r>
        <w:rPr>
          <w:rFonts w:hint="eastAsia" w:ascii="宋体" w:hAnsi="宋体" w:eastAsia="宋体" w:cs="宋体"/>
          <w:b w:val="0"/>
          <w:bCs w:val="0"/>
          <w:color w:val="auto"/>
          <w:sz w:val="24"/>
          <w:szCs w:val="24"/>
          <w:highlight w:val="none"/>
        </w:rPr>
        <w:t>明</w:t>
      </w:r>
      <w:r>
        <w:rPr>
          <w:rFonts w:hint="eastAsia" w:ascii="宋体" w:hAnsi="宋体" w:eastAsia="宋体" w:cs="宋体"/>
          <w:b w:val="0"/>
          <w:bCs w:val="0"/>
          <w:color w:val="auto"/>
          <w:sz w:val="24"/>
          <w:szCs w:val="24"/>
          <w:highlight w:val="none"/>
          <w:lang w:eastAsia="zh-CN"/>
        </w:rPr>
        <w:t>函、承诺书</w:t>
      </w:r>
      <w:r>
        <w:rPr>
          <w:rFonts w:hint="eastAsia" w:ascii="宋体" w:hAnsi="宋体" w:eastAsia="宋体" w:cs="宋体"/>
          <w:b w:val="0"/>
          <w:bCs w:val="0"/>
          <w:color w:val="auto"/>
          <w:sz w:val="24"/>
          <w:szCs w:val="24"/>
          <w:highlight w:val="none"/>
        </w:rPr>
        <w:t>（中小企业证明</w:t>
      </w:r>
      <w:r>
        <w:rPr>
          <w:rFonts w:hint="eastAsia" w:ascii="宋体" w:hAnsi="宋体" w:eastAsia="宋体" w:cs="宋体"/>
          <w:b w:val="0"/>
          <w:bCs w:val="0"/>
          <w:color w:val="auto"/>
          <w:sz w:val="24"/>
          <w:szCs w:val="24"/>
          <w:highlight w:val="none"/>
          <w:lang w:eastAsia="zh-CN"/>
        </w:rPr>
        <w:t>函及承诺书</w:t>
      </w:r>
      <w:r>
        <w:rPr>
          <w:rFonts w:hint="eastAsia" w:ascii="宋体" w:hAnsi="宋体" w:eastAsia="宋体" w:cs="宋体"/>
          <w:b w:val="0"/>
          <w:bCs w:val="0"/>
          <w:color w:val="auto"/>
          <w:sz w:val="24"/>
          <w:szCs w:val="24"/>
          <w:highlight w:val="none"/>
        </w:rPr>
        <w:t>必须按照第五部分投标文件格式</w:t>
      </w:r>
      <w:r>
        <w:rPr>
          <w:rFonts w:hint="eastAsia" w:ascii="宋体" w:hAnsi="宋体" w:eastAsia="宋体" w:cs="宋体"/>
          <w:b w:val="0"/>
          <w:bCs w:val="0"/>
          <w:color w:val="auto"/>
          <w:sz w:val="24"/>
          <w:szCs w:val="24"/>
          <w:highlight w:val="none"/>
          <w:lang w:eastAsia="zh-CN"/>
        </w:rPr>
        <w:t>填写</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eastAsia="zh-CN"/>
        </w:rPr>
        <w:t>、营业执照副本复印件、</w:t>
      </w:r>
      <w:r>
        <w:rPr>
          <w:rFonts w:hint="eastAsia" w:ascii="宋体" w:hAnsi="宋体" w:eastAsia="宋体" w:cs="宋体"/>
          <w:b w:val="0"/>
          <w:bCs w:val="0"/>
          <w:color w:val="auto"/>
          <w:sz w:val="24"/>
          <w:szCs w:val="24"/>
          <w:highlight w:val="none"/>
          <w:lang w:val="en-US" w:eastAsia="zh-CN"/>
        </w:rPr>
        <w:t>企业上年度财务报表（企业利润表、企业资产负债表）、企业上年度从业人员证明材料（1-12月份社会保险基本结算表或社会保险费年度结算申报表、或其他证明材料）、其他能证明其为中小企业的证明材料；</w:t>
      </w:r>
    </w:p>
    <w:p>
      <w:pPr>
        <w:spacing w:line="440" w:lineRule="exact"/>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▲26.10、初次报价表；</w:t>
      </w:r>
    </w:p>
    <w:p>
      <w:pPr>
        <w:spacing w:line="440" w:lineRule="exact"/>
        <w:ind w:firstLine="480" w:firstLineChars="200"/>
        <w:rPr>
          <w:rFonts w:ascii="宋体" w:hAnsi="宋体"/>
          <w:bCs/>
          <w:color w:val="auto"/>
          <w:sz w:val="24"/>
          <w:highlight w:val="none"/>
        </w:rPr>
      </w:pPr>
      <w:r>
        <w:rPr>
          <w:rFonts w:hint="eastAsia" w:ascii="宋体" w:hAnsi="宋体" w:cs="宋体"/>
          <w:bCs/>
          <w:color w:val="auto"/>
          <w:kern w:val="0"/>
          <w:sz w:val="24"/>
          <w:szCs w:val="24"/>
          <w:highlight w:val="none"/>
        </w:rPr>
        <w:t>26.11、</w:t>
      </w:r>
      <w:r>
        <w:rPr>
          <w:rFonts w:hint="eastAsia" w:ascii="宋体" w:hAnsi="宋体"/>
          <w:bCs/>
          <w:color w:val="auto"/>
          <w:sz w:val="24"/>
          <w:highlight w:val="none"/>
        </w:rPr>
        <w:t>技术偏离表：谈判响应方必须针对采购清单中技术参数等要求逐个做出响应；</w:t>
      </w:r>
    </w:p>
    <w:p>
      <w:pPr>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26.12、项目实施方案，可包括：组织机构、工作时间进度表、工作程序和步骤、管理和协调方法等；送货、货物存放、安装调试方案；确保按时交付、正常运行等措施；</w:t>
      </w:r>
    </w:p>
    <w:p>
      <w:pPr>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26.13、项目组人员情况安排表；</w:t>
      </w:r>
    </w:p>
    <w:p>
      <w:pPr>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26.14、售后服务方案，包括：以书面形式完整准确地表述原厂家的标准售后服务承诺（范围、标准及期限等），谈判响应方可能增加的服务承诺等，包括质保期内提供上门维护服务，日常检测及保养，出现质量问题如何处理和赔偿，对应急维修、故障响应、到达现场、解决问题时效、现场不能修复的所采取的措施，提供故障排除、性能调优、技术咨询等售后技术支持服务情况，并明示服务承诺可能涉及的前提设定和费用，否则将被认为是无条件和免费的；</w:t>
      </w:r>
    </w:p>
    <w:p>
      <w:pPr>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26.15、本地化服务能力证明，列明距采购人最近或者能为本项目提供最优服务的网点情况，确保能够快速提供良好的售后服务；</w:t>
      </w:r>
    </w:p>
    <w:p>
      <w:pPr>
        <w:pStyle w:val="34"/>
        <w:spacing w:before="0" w:line="440" w:lineRule="exact"/>
        <w:ind w:firstLine="508" w:firstLineChars="212"/>
        <w:rPr>
          <w:rFonts w:ascii="宋体" w:hAnsi="宋体" w:cs="宋体"/>
          <w:bCs/>
          <w:color w:val="auto"/>
          <w:kern w:val="0"/>
          <w:highlight w:val="none"/>
        </w:rPr>
      </w:pPr>
      <w:r>
        <w:rPr>
          <w:rFonts w:hint="eastAsia" w:ascii="宋体" w:hAnsi="宋体"/>
          <w:bCs/>
          <w:color w:val="auto"/>
          <w:highlight w:val="none"/>
        </w:rPr>
        <w:t>26.1</w:t>
      </w:r>
      <w:r>
        <w:rPr>
          <w:rFonts w:hint="eastAsia" w:ascii="宋体" w:hAnsi="宋体"/>
          <w:bCs/>
          <w:color w:val="auto"/>
          <w:highlight w:val="none"/>
          <w:lang w:val="en-US" w:eastAsia="zh-CN"/>
        </w:rPr>
        <w:t>6</w:t>
      </w:r>
      <w:r>
        <w:rPr>
          <w:rFonts w:hint="eastAsia" w:ascii="宋体" w:hAnsi="宋体"/>
          <w:bCs/>
          <w:color w:val="auto"/>
          <w:highlight w:val="none"/>
        </w:rPr>
        <w:t>、关于对采购文件中有关条款的拒绝声明（</w:t>
      </w:r>
      <w:r>
        <w:rPr>
          <w:rFonts w:hint="eastAsia" w:ascii="宋体" w:hAnsi="宋体" w:cs="仿宋_GB2312"/>
          <w:bCs/>
          <w:color w:val="auto"/>
          <w:kern w:val="0"/>
          <w:highlight w:val="none"/>
          <w:lang w:val="zh-CN"/>
        </w:rPr>
        <w:t>如果有的话）</w:t>
      </w:r>
      <w:r>
        <w:rPr>
          <w:rFonts w:hint="eastAsia" w:ascii="宋体" w:hAnsi="宋体"/>
          <w:bCs/>
          <w:color w:val="auto"/>
          <w:highlight w:val="none"/>
          <w:lang w:val="zh-CN"/>
        </w:rPr>
        <w:t>；</w:t>
      </w:r>
    </w:p>
    <w:p>
      <w:pPr>
        <w:snapToGrid w:val="0"/>
        <w:spacing w:line="440" w:lineRule="exact"/>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26.1</w:t>
      </w:r>
      <w:r>
        <w:rPr>
          <w:rFonts w:hint="eastAsia" w:ascii="宋体" w:hAnsi="宋体"/>
          <w:bCs/>
          <w:color w:val="auto"/>
          <w:sz w:val="24"/>
          <w:szCs w:val="20"/>
          <w:highlight w:val="none"/>
          <w:lang w:val="en-US" w:eastAsia="zh-CN"/>
        </w:rPr>
        <w:t>7</w:t>
      </w:r>
      <w:r>
        <w:rPr>
          <w:rFonts w:hint="eastAsia" w:ascii="宋体" w:hAnsi="宋体"/>
          <w:bCs/>
          <w:color w:val="auto"/>
          <w:sz w:val="24"/>
          <w:szCs w:val="20"/>
          <w:highlight w:val="none"/>
        </w:rPr>
        <w:t>、谈判响应方认为需要提供的其他说明。</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27、报价</w:t>
      </w:r>
    </w:p>
    <w:p>
      <w:pPr>
        <w:adjustRightInd w:val="0"/>
        <w:snapToGrid w:val="0"/>
        <w:spacing w:line="360" w:lineRule="auto"/>
        <w:ind w:firstLine="353" w:firstLineChars="147"/>
        <w:rPr>
          <w:rFonts w:ascii="宋体" w:hAnsi="宋体"/>
          <w:color w:val="auto"/>
          <w:sz w:val="24"/>
          <w:szCs w:val="24"/>
          <w:highlight w:val="none"/>
        </w:rPr>
      </w:pPr>
      <w:r>
        <w:rPr>
          <w:rFonts w:hint="eastAsia" w:ascii="宋体" w:hAnsi="宋体"/>
          <w:color w:val="auto"/>
          <w:sz w:val="24"/>
          <w:szCs w:val="24"/>
          <w:highlight w:val="none"/>
        </w:rPr>
        <w:t>谈判响应方的报价是响应本项目要求的全部工作内容的价格体现，包括供应商完成本项目所需的一切费用。具体包括</w:t>
      </w:r>
      <w:r>
        <w:rPr>
          <w:rFonts w:hint="eastAsia" w:ascii="宋体" w:hAnsi="宋体"/>
          <w:bCs/>
          <w:color w:val="auto"/>
          <w:sz w:val="24"/>
          <w:szCs w:val="24"/>
          <w:highlight w:val="none"/>
        </w:rPr>
        <w:t>余杭区小额公共资源交易电子招投标系统</w:t>
      </w:r>
      <w:r>
        <w:rPr>
          <w:rFonts w:hint="eastAsia" w:ascii="宋体" w:hAnsi="宋体"/>
          <w:bCs/>
          <w:color w:val="auto"/>
          <w:sz w:val="24"/>
          <w:szCs w:val="24"/>
          <w:highlight w:val="none"/>
          <w:lang w:eastAsia="zh-CN"/>
        </w:rPr>
        <w:t>开发</w:t>
      </w:r>
      <w:r>
        <w:rPr>
          <w:rFonts w:hint="eastAsia" w:ascii="宋体" w:hAnsi="宋体"/>
          <w:bCs/>
          <w:color w:val="auto"/>
          <w:sz w:val="24"/>
          <w:szCs w:val="24"/>
          <w:highlight w:val="none"/>
        </w:rPr>
        <w:t>、售后服务费、培训费、有关部门的验收费、政策性文件规定及合同包含的所有风险、责任等各项全部费用。</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lang w:val="en-US" w:eastAsia="zh-CN"/>
        </w:rPr>
        <w:t xml:space="preserve">    </w:t>
      </w:r>
      <w:r>
        <w:rPr>
          <w:rFonts w:hint="eastAsia" w:ascii="宋体" w:hAnsi="宋体"/>
          <w:b/>
          <w:color w:val="auto"/>
          <w:sz w:val="24"/>
          <w:szCs w:val="24"/>
          <w:highlight w:val="none"/>
        </w:rPr>
        <w:t>28、竞争性谈判评审办法</w:t>
      </w:r>
    </w:p>
    <w:p>
      <w:pPr>
        <w:pStyle w:val="34"/>
        <w:spacing w:before="0" w:line="440" w:lineRule="exact"/>
        <w:ind w:firstLine="511" w:firstLineChars="212"/>
        <w:rPr>
          <w:rFonts w:ascii="宋体" w:hAnsi="宋体"/>
          <w:b/>
          <w:color w:val="auto"/>
          <w:highlight w:val="none"/>
        </w:rPr>
      </w:pPr>
      <w:r>
        <w:rPr>
          <w:rFonts w:hint="eastAsia" w:ascii="宋体" w:hAnsi="宋体"/>
          <w:b/>
          <w:color w:val="auto"/>
          <w:highlight w:val="none"/>
        </w:rPr>
        <w:t>28.1、谈判准备</w:t>
      </w:r>
    </w:p>
    <w:p>
      <w:pPr>
        <w:adjustRightInd w:val="0"/>
        <w:snapToGrid w:val="0"/>
        <w:spacing w:line="440" w:lineRule="exact"/>
        <w:ind w:firstLine="480" w:firstLineChars="200"/>
        <w:rPr>
          <w:rFonts w:ascii="新宋体" w:hAnsi="新宋体" w:eastAsia="新宋体" w:cs="新宋体"/>
          <w:color w:val="auto"/>
          <w:sz w:val="24"/>
          <w:szCs w:val="24"/>
          <w:highlight w:val="none"/>
        </w:rPr>
      </w:pPr>
      <w:r>
        <w:rPr>
          <w:rFonts w:hint="eastAsia" w:ascii="宋体" w:hAnsi="宋体"/>
          <w:color w:val="auto"/>
          <w:sz w:val="24"/>
          <w:szCs w:val="24"/>
          <w:highlight w:val="none"/>
        </w:rPr>
        <w:t>采购代理机构在采购文件规定的时间和地点组织谈判，谈判响应方</w:t>
      </w:r>
      <w:r>
        <w:rPr>
          <w:rFonts w:hint="eastAsia" w:ascii="宋体" w:hAnsi="宋体"/>
          <w:color w:val="auto"/>
          <w:sz w:val="24"/>
          <w:highlight w:val="none"/>
        </w:rPr>
        <w:t>的法定代表人或其授权代表应准时参加并签到。</w:t>
      </w:r>
      <w:r>
        <w:rPr>
          <w:rFonts w:hint="eastAsia" w:ascii="新宋体" w:hAnsi="新宋体" w:eastAsia="新宋体" w:cs="新宋体"/>
          <w:color w:val="auto"/>
          <w:sz w:val="24"/>
          <w:szCs w:val="24"/>
          <w:highlight w:val="none"/>
        </w:rPr>
        <w:t>主动出示本人的有效身份证件由采购代理机构验证确认，否则视同未派代表参加开标大会，事后不得对采购相关人员、开标过程和开标结果提出异议。</w:t>
      </w:r>
    </w:p>
    <w:p>
      <w:pPr>
        <w:adjustRightInd w:val="0"/>
        <w:snapToGrid w:val="0"/>
        <w:spacing w:line="440" w:lineRule="exact"/>
        <w:ind w:firstLine="480" w:firstLineChars="200"/>
        <w:rPr>
          <w:rFonts w:ascii="宋体" w:hAnsi="宋体"/>
          <w:b/>
          <w:color w:val="auto"/>
          <w:sz w:val="24"/>
          <w:highlight w:val="none"/>
        </w:rPr>
      </w:pPr>
      <w:r>
        <w:rPr>
          <w:rFonts w:hint="eastAsia" w:ascii="宋体" w:hAnsi="宋体"/>
          <w:color w:val="auto"/>
          <w:sz w:val="24"/>
          <w:highlight w:val="none"/>
        </w:rPr>
        <w:t>参加开标大会的供应商应签署不存在影响公平竞争的《政府采购活动现场确认声明书》。未参加开标大会，但被确定为成交供应商的，应补签《政府采购活动现场确认声明书》。</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开标时，由谈判响应方代表检查各响应文件的密封情况，确认无误后，工作人员当众拆封响应文件，核对身份并清点正本、副本数量，不符合要求的，视其无效。</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谈判期间，谈判响应方代表人必须在场，负责解答有关事宜，根据有关事宜作出书面回复澄清，其书面回复作为签订合同的依据，具有同等法律效力。</w:t>
      </w:r>
    </w:p>
    <w:p>
      <w:pPr>
        <w:pStyle w:val="34"/>
        <w:spacing w:before="0" w:line="440" w:lineRule="exact"/>
        <w:ind w:firstLine="511" w:firstLineChars="212"/>
        <w:rPr>
          <w:rFonts w:ascii="宋体" w:hAnsi="宋体"/>
          <w:b/>
          <w:color w:val="auto"/>
          <w:highlight w:val="none"/>
        </w:rPr>
      </w:pPr>
      <w:r>
        <w:rPr>
          <w:rFonts w:hint="eastAsia" w:ascii="宋体" w:hAnsi="宋体"/>
          <w:b/>
          <w:color w:val="auto"/>
          <w:highlight w:val="none"/>
        </w:rPr>
        <w:t>28.2、组建谈判小组</w:t>
      </w:r>
    </w:p>
    <w:p>
      <w:pPr>
        <w:spacing w:line="360" w:lineRule="auto"/>
        <w:ind w:firstLine="480" w:firstLineChars="200"/>
        <w:rPr>
          <w:rFonts w:ascii="宋体" w:hAnsi="宋体"/>
          <w:color w:val="auto"/>
          <w:highlight w:val="none"/>
        </w:rPr>
      </w:pPr>
      <w:r>
        <w:rPr>
          <w:rFonts w:hint="eastAsia" w:ascii="宋体" w:hAnsi="宋体"/>
          <w:color w:val="auto"/>
          <w:sz w:val="24"/>
          <w:szCs w:val="24"/>
          <w:highlight w:val="none"/>
        </w:rPr>
        <w:t>谈判小组由采购人的代表和有关专家共三人及以上的单数组成，其中专家的人数不得少于成员总数的三分之二</w:t>
      </w:r>
      <w:r>
        <w:rPr>
          <w:rFonts w:hint="eastAsia" w:ascii="宋体" w:hAnsi="宋体"/>
          <w:color w:val="auto"/>
          <w:highlight w:val="none"/>
        </w:rPr>
        <w:t>。</w:t>
      </w:r>
    </w:p>
    <w:p>
      <w:pPr>
        <w:pStyle w:val="34"/>
        <w:spacing w:before="0" w:line="440" w:lineRule="exact"/>
        <w:ind w:firstLine="511" w:firstLineChars="212"/>
        <w:rPr>
          <w:rFonts w:ascii="宋体" w:hAnsi="宋体"/>
          <w:b/>
          <w:color w:val="auto"/>
          <w:highlight w:val="none"/>
        </w:rPr>
      </w:pPr>
      <w:r>
        <w:rPr>
          <w:rFonts w:hint="eastAsia" w:ascii="宋体" w:hAnsi="宋体"/>
          <w:b/>
          <w:color w:val="auto"/>
          <w:highlight w:val="none"/>
        </w:rPr>
        <w:t>28.3、响应文件鉴定</w:t>
      </w:r>
    </w:p>
    <w:p>
      <w:pPr>
        <w:pStyle w:val="34"/>
        <w:spacing w:before="0" w:line="460" w:lineRule="exact"/>
        <w:ind w:firstLine="480"/>
        <w:rPr>
          <w:rFonts w:ascii="宋体" w:hAnsi="宋体"/>
          <w:color w:val="auto"/>
          <w:highlight w:val="none"/>
        </w:rPr>
      </w:pPr>
      <w:r>
        <w:rPr>
          <w:rFonts w:hint="eastAsia" w:ascii="宋体" w:hAnsi="宋体"/>
          <w:color w:val="auto"/>
          <w:highlight w:val="none"/>
        </w:rPr>
        <w:t>谈判小组对响应文件进行初步审查，检查文件签署是否规范以及谈判响应方资格是否符合要求等。如响应文件被确认为无效，采购代理机构将及时通知该谈判响应方。</w:t>
      </w:r>
    </w:p>
    <w:p>
      <w:pPr>
        <w:spacing w:line="440" w:lineRule="exact"/>
        <w:ind w:firstLine="590" w:firstLineChars="246"/>
        <w:rPr>
          <w:rFonts w:ascii="宋体" w:hAnsi="宋体" w:cs="宋体"/>
          <w:color w:val="auto"/>
          <w:sz w:val="24"/>
          <w:highlight w:val="none"/>
        </w:rPr>
      </w:pPr>
      <w:r>
        <w:rPr>
          <w:rFonts w:hint="eastAsia" w:ascii="宋体" w:hAnsi="宋体" w:cs="宋体"/>
          <w:color w:val="auto"/>
          <w:sz w:val="24"/>
          <w:highlight w:val="none"/>
        </w:rPr>
        <w:t>供应商存在以下情形之一的，视为串通投标，其投标无效：</w:t>
      </w:r>
    </w:p>
    <w:p>
      <w:pPr>
        <w:spacing w:line="440" w:lineRule="exact"/>
        <w:ind w:firstLine="470" w:firstLineChars="196"/>
        <w:rPr>
          <w:rFonts w:ascii="宋体" w:hAnsi="宋体" w:cs="宋体"/>
          <w:color w:val="auto"/>
          <w:sz w:val="24"/>
          <w:highlight w:val="none"/>
        </w:rPr>
      </w:pPr>
      <w:r>
        <w:rPr>
          <w:rFonts w:hint="eastAsia" w:ascii="宋体" w:hAnsi="宋体" w:cs="宋体"/>
          <w:color w:val="auto"/>
          <w:sz w:val="24"/>
          <w:highlight w:val="none"/>
        </w:rPr>
        <w:t>（1）不同供应商的响应文件由同一单位或者个人编制；</w:t>
      </w:r>
    </w:p>
    <w:p>
      <w:pPr>
        <w:spacing w:line="440" w:lineRule="exact"/>
        <w:ind w:firstLine="470" w:firstLineChars="196"/>
        <w:rPr>
          <w:rFonts w:ascii="宋体" w:hAnsi="宋体" w:cs="宋体"/>
          <w:color w:val="auto"/>
          <w:sz w:val="24"/>
          <w:highlight w:val="none"/>
        </w:rPr>
      </w:pPr>
      <w:r>
        <w:rPr>
          <w:rFonts w:hint="eastAsia" w:ascii="宋体" w:hAnsi="宋体" w:cs="宋体"/>
          <w:color w:val="auto"/>
          <w:sz w:val="24"/>
          <w:highlight w:val="none"/>
        </w:rPr>
        <w:t>（2）不同供应商委托同一单位或者个人办理投标事宜；</w:t>
      </w:r>
    </w:p>
    <w:p>
      <w:pPr>
        <w:spacing w:line="440" w:lineRule="exact"/>
        <w:ind w:firstLine="470" w:firstLineChars="196"/>
        <w:rPr>
          <w:rFonts w:ascii="宋体" w:hAnsi="宋体" w:cs="宋体"/>
          <w:color w:val="auto"/>
          <w:sz w:val="24"/>
          <w:highlight w:val="none"/>
        </w:rPr>
      </w:pPr>
      <w:r>
        <w:rPr>
          <w:rFonts w:hint="eastAsia" w:ascii="宋体" w:hAnsi="宋体" w:cs="宋体"/>
          <w:color w:val="auto"/>
          <w:sz w:val="24"/>
          <w:highlight w:val="none"/>
        </w:rPr>
        <w:t>（3）不同供应商的响应文件载明的项目管理成员或者联系人员为同一人；</w:t>
      </w:r>
    </w:p>
    <w:p>
      <w:pPr>
        <w:spacing w:line="440" w:lineRule="exact"/>
        <w:ind w:firstLine="590" w:firstLineChars="246"/>
        <w:rPr>
          <w:rFonts w:ascii="宋体" w:hAnsi="宋体" w:cs="宋体"/>
          <w:color w:val="auto"/>
          <w:sz w:val="24"/>
          <w:highlight w:val="none"/>
        </w:rPr>
      </w:pPr>
      <w:r>
        <w:rPr>
          <w:rFonts w:hint="eastAsia" w:ascii="宋体" w:hAnsi="宋体" w:cs="宋体"/>
          <w:color w:val="auto"/>
          <w:sz w:val="24"/>
          <w:highlight w:val="none"/>
        </w:rPr>
        <w:t>(4）不同供应商的响应文件异常一致或者报价呈规律性差异；</w:t>
      </w:r>
    </w:p>
    <w:p>
      <w:pPr>
        <w:spacing w:line="440" w:lineRule="exact"/>
        <w:ind w:firstLine="470" w:firstLineChars="196"/>
        <w:rPr>
          <w:rFonts w:ascii="宋体" w:hAnsi="宋体" w:cs="宋体"/>
          <w:color w:val="auto"/>
          <w:sz w:val="24"/>
          <w:highlight w:val="none"/>
        </w:rPr>
      </w:pPr>
      <w:r>
        <w:rPr>
          <w:rFonts w:hint="eastAsia" w:ascii="宋体" w:hAnsi="宋体" w:cs="宋体"/>
          <w:color w:val="auto"/>
          <w:sz w:val="24"/>
          <w:highlight w:val="none"/>
        </w:rPr>
        <w:t>（5）不同供应商的响应文件相互混装；</w:t>
      </w:r>
    </w:p>
    <w:p>
      <w:pPr>
        <w:adjustRightInd w:val="0"/>
        <w:snapToGrid w:val="0"/>
        <w:spacing w:line="440" w:lineRule="exact"/>
        <w:ind w:firstLine="361" w:firstLineChars="150"/>
        <w:rPr>
          <w:rFonts w:ascii="宋体" w:hAnsi="宋体" w:cs="宋体"/>
          <w:b/>
          <w:color w:val="auto"/>
          <w:sz w:val="24"/>
          <w:highlight w:val="none"/>
        </w:rPr>
      </w:pPr>
      <w:r>
        <w:rPr>
          <w:rFonts w:hint="eastAsia" w:ascii="宋体" w:hAnsi="宋体" w:cs="宋体"/>
          <w:b/>
          <w:color w:val="auto"/>
          <w:sz w:val="24"/>
          <w:highlight w:val="none"/>
        </w:rPr>
        <w:t>28.4、错误修正</w:t>
      </w:r>
    </w:p>
    <w:p>
      <w:pPr>
        <w:spacing w:line="360" w:lineRule="auto"/>
        <w:ind w:firstLine="360"/>
        <w:rPr>
          <w:rFonts w:ascii="宋体" w:hAnsi="宋体" w:cs="宋体"/>
          <w:bCs/>
          <w:color w:val="auto"/>
          <w:sz w:val="24"/>
          <w:highlight w:val="none"/>
        </w:rPr>
      </w:pPr>
      <w:r>
        <w:rPr>
          <w:rFonts w:hint="eastAsia" w:ascii="宋体" w:hAnsi="宋体" w:cs="宋体"/>
          <w:bCs/>
          <w:color w:val="auto"/>
          <w:sz w:val="24"/>
          <w:highlight w:val="none"/>
        </w:rPr>
        <w:t>报价出现前后不一致的，按照下列规定修正：</w:t>
      </w:r>
    </w:p>
    <w:p>
      <w:pPr>
        <w:spacing w:line="360" w:lineRule="auto"/>
        <w:ind w:firstLine="360"/>
        <w:rPr>
          <w:rFonts w:ascii="宋体" w:hAnsi="宋体" w:cs="宋体"/>
          <w:bCs/>
          <w:color w:val="auto"/>
          <w:sz w:val="24"/>
          <w:highlight w:val="none"/>
        </w:rPr>
      </w:pPr>
      <w:r>
        <w:rPr>
          <w:rFonts w:hint="eastAsia" w:ascii="宋体" w:hAnsi="宋体" w:cs="宋体"/>
          <w:bCs/>
          <w:color w:val="auto"/>
          <w:sz w:val="24"/>
          <w:highlight w:val="none"/>
        </w:rPr>
        <w:t>(1)大写金额和小写金额不一致的，以大写金额为准;</w:t>
      </w:r>
    </w:p>
    <w:p>
      <w:pPr>
        <w:spacing w:line="360" w:lineRule="auto"/>
        <w:ind w:firstLine="360"/>
        <w:rPr>
          <w:rFonts w:ascii="宋体" w:hAnsi="宋体" w:cs="宋体"/>
          <w:bCs/>
          <w:color w:val="auto"/>
          <w:sz w:val="24"/>
          <w:highlight w:val="none"/>
        </w:rPr>
      </w:pPr>
      <w:r>
        <w:rPr>
          <w:rFonts w:hint="eastAsia" w:ascii="宋体" w:hAnsi="宋体" w:cs="宋体"/>
          <w:bCs/>
          <w:color w:val="auto"/>
          <w:sz w:val="24"/>
          <w:highlight w:val="none"/>
        </w:rPr>
        <w:t>(2)单价金额小数点或者百分比有明显错位的，以开标一览表的总价为准，并修改单价;</w:t>
      </w:r>
    </w:p>
    <w:p>
      <w:pPr>
        <w:spacing w:line="360" w:lineRule="auto"/>
        <w:ind w:firstLine="360"/>
        <w:rPr>
          <w:rFonts w:ascii="宋体" w:hAnsi="宋体" w:cs="宋体"/>
          <w:bCs/>
          <w:color w:val="auto"/>
          <w:sz w:val="24"/>
          <w:highlight w:val="none"/>
        </w:rPr>
      </w:pPr>
      <w:r>
        <w:rPr>
          <w:rFonts w:hint="eastAsia" w:ascii="宋体" w:hAnsi="宋体" w:cs="宋体"/>
          <w:bCs/>
          <w:color w:val="auto"/>
          <w:sz w:val="24"/>
          <w:highlight w:val="none"/>
        </w:rPr>
        <w:t>(3)总价金额与按单价汇总金额不一致的，以单价金额计算结果为准。</w:t>
      </w:r>
    </w:p>
    <w:p>
      <w:pPr>
        <w:spacing w:line="360" w:lineRule="auto"/>
        <w:ind w:firstLine="360"/>
        <w:rPr>
          <w:rFonts w:ascii="宋体" w:hAnsi="宋体" w:cs="宋体"/>
          <w:bCs/>
          <w:color w:val="auto"/>
          <w:sz w:val="24"/>
          <w:szCs w:val="24"/>
          <w:highlight w:val="none"/>
        </w:rPr>
      </w:pPr>
      <w:r>
        <w:rPr>
          <w:rFonts w:hint="eastAsia" w:ascii="宋体" w:hAnsi="宋体"/>
          <w:b/>
          <w:color w:val="auto"/>
          <w:sz w:val="24"/>
          <w:szCs w:val="24"/>
          <w:highlight w:val="none"/>
        </w:rPr>
        <w:t>28.5、评审办法</w:t>
      </w:r>
    </w:p>
    <w:p>
      <w:pPr>
        <w:spacing w:line="360" w:lineRule="auto"/>
        <w:ind w:firstLine="360"/>
        <w:rPr>
          <w:rFonts w:ascii="宋体" w:hAnsi="宋体" w:cs="宋体"/>
          <w:bCs/>
          <w:color w:val="auto"/>
          <w:sz w:val="24"/>
          <w:highlight w:val="none"/>
        </w:rPr>
      </w:pPr>
      <w:r>
        <w:rPr>
          <w:rFonts w:hint="eastAsia" w:ascii="宋体" w:hAnsi="宋体"/>
          <w:color w:val="auto"/>
          <w:sz w:val="24"/>
          <w:highlight w:val="none"/>
        </w:rPr>
        <w:t>本项目</w:t>
      </w:r>
      <w:r>
        <w:rPr>
          <w:rFonts w:hint="eastAsia" w:ascii="宋体" w:hAnsi="宋体" w:cs="宋体"/>
          <w:color w:val="auto"/>
          <w:kern w:val="0"/>
          <w:sz w:val="24"/>
          <w:highlight w:val="none"/>
        </w:rPr>
        <w:t>比照</w:t>
      </w:r>
      <w:r>
        <w:rPr>
          <w:rFonts w:hint="eastAsia" w:ascii="宋体" w:hAnsi="宋体"/>
          <w:color w:val="auto"/>
          <w:sz w:val="24"/>
          <w:highlight w:val="none"/>
        </w:rPr>
        <w:t>最低评标价法确定成交供应商，</w:t>
      </w:r>
      <w:r>
        <w:rPr>
          <w:rFonts w:hint="eastAsia" w:ascii="宋体" w:hAnsi="宋体" w:cs="宋体"/>
          <w:color w:val="auto"/>
          <w:kern w:val="0"/>
          <w:sz w:val="24"/>
          <w:highlight w:val="none"/>
        </w:rPr>
        <w:t>即</w:t>
      </w:r>
      <w:r>
        <w:rPr>
          <w:rFonts w:hint="eastAsia" w:ascii="宋体" w:hAnsi="宋体" w:cs="宋体"/>
          <w:bCs/>
          <w:color w:val="auto"/>
          <w:sz w:val="24"/>
          <w:highlight w:val="none"/>
        </w:rPr>
        <w:t>指响应文件满足采购文件全部实质性要求，且报价最低的响应方为成交供应商。</w:t>
      </w:r>
    </w:p>
    <w:p>
      <w:pPr>
        <w:autoSpaceDE w:val="0"/>
        <w:autoSpaceDN w:val="0"/>
        <w:adjustRightInd w:val="0"/>
        <w:spacing w:line="460" w:lineRule="exact"/>
        <w:ind w:firstLine="540" w:firstLineChars="225"/>
        <w:rPr>
          <w:rFonts w:ascii="宋体" w:hAnsi="宋体"/>
          <w:color w:val="auto"/>
          <w:sz w:val="24"/>
          <w:highlight w:val="none"/>
        </w:rPr>
      </w:pPr>
      <w:bookmarkStart w:id="4" w:name="_Toc367698153"/>
      <w:r>
        <w:rPr>
          <w:rFonts w:hint="eastAsia" w:ascii="宋体" w:hAnsi="宋体"/>
          <w:color w:val="auto"/>
          <w:sz w:val="24"/>
          <w:highlight w:val="none"/>
        </w:rPr>
        <w:t>谈判小组将按最终报价由低到高顺序排列。最终报价相同的，按技术指标从优至劣顺序排列。</w:t>
      </w:r>
      <w:bookmarkEnd w:id="4"/>
    </w:p>
    <w:p>
      <w:pPr>
        <w:pStyle w:val="34"/>
        <w:spacing w:before="0" w:line="440" w:lineRule="exact"/>
        <w:ind w:firstLine="511" w:firstLineChars="212"/>
        <w:rPr>
          <w:rFonts w:ascii="宋体" w:hAnsi="宋体"/>
          <w:b/>
          <w:color w:val="auto"/>
          <w:highlight w:val="none"/>
        </w:rPr>
      </w:pPr>
      <w:r>
        <w:rPr>
          <w:rFonts w:hint="eastAsia" w:ascii="宋体" w:hAnsi="宋体"/>
          <w:b/>
          <w:color w:val="auto"/>
          <w:highlight w:val="none"/>
        </w:rPr>
        <w:t>28.6、 谈判流程</w:t>
      </w:r>
    </w:p>
    <w:p>
      <w:pPr>
        <w:tabs>
          <w:tab w:val="left" w:pos="0"/>
        </w:tabs>
        <w:autoSpaceDE w:val="0"/>
        <w:autoSpaceDN w:val="0"/>
        <w:adjustRightInd w:val="0"/>
        <w:spacing w:line="460" w:lineRule="exact"/>
        <w:ind w:firstLine="480"/>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（1）、谈判小组讨论、通过谈判评审工作流程和谈判要点；</w:t>
      </w:r>
    </w:p>
    <w:p>
      <w:pPr>
        <w:tabs>
          <w:tab w:val="left" w:pos="0"/>
        </w:tabs>
        <w:autoSpaceDE w:val="0"/>
        <w:autoSpaceDN w:val="0"/>
        <w:adjustRightInd w:val="0"/>
        <w:spacing w:line="460" w:lineRule="exact"/>
        <w:ind w:firstLine="480"/>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（2）、谈判小组审阅采购文件和响应文件；</w:t>
      </w:r>
    </w:p>
    <w:p>
      <w:pPr>
        <w:tabs>
          <w:tab w:val="left" w:pos="0"/>
        </w:tabs>
        <w:autoSpaceDE w:val="0"/>
        <w:autoSpaceDN w:val="0"/>
        <w:adjustRightInd w:val="0"/>
        <w:spacing w:line="460" w:lineRule="exact"/>
        <w:ind w:firstLine="480"/>
        <w:rPr>
          <w:rFonts w:ascii="宋体" w:hAnsi="宋体"/>
          <w:color w:val="auto"/>
          <w:sz w:val="24"/>
          <w:highlight w:val="none"/>
        </w:rPr>
      </w:pPr>
      <w:r>
        <w:rPr>
          <w:rFonts w:hint="eastAsia" w:ascii="宋体" w:hAnsi="宋体" w:cs="仿宋_GB2312"/>
          <w:color w:val="auto"/>
          <w:kern w:val="0"/>
          <w:sz w:val="24"/>
          <w:highlight w:val="none"/>
          <w:lang w:val="zh-CN"/>
        </w:rPr>
        <w:t>（3）、</w:t>
      </w:r>
      <w:r>
        <w:rPr>
          <w:rFonts w:hint="eastAsia" w:ascii="宋体" w:hAnsi="宋体"/>
          <w:color w:val="auto"/>
          <w:sz w:val="24"/>
          <w:highlight w:val="none"/>
        </w:rPr>
        <w:t>谈判响应方根据抽签顺序逐家与谈判小组谈判。</w:t>
      </w:r>
    </w:p>
    <w:p>
      <w:pPr>
        <w:tabs>
          <w:tab w:val="left" w:pos="0"/>
        </w:tabs>
        <w:autoSpaceDE w:val="0"/>
        <w:autoSpaceDN w:val="0"/>
        <w:adjustRightInd w:val="0"/>
        <w:spacing w:line="460" w:lineRule="exact"/>
        <w:ind w:firstLine="480"/>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（4）、</w:t>
      </w:r>
      <w:r>
        <w:rPr>
          <w:rFonts w:hint="eastAsia" w:ascii="宋体" w:hAnsi="宋体"/>
          <w:color w:val="auto"/>
          <w:sz w:val="24"/>
          <w:highlight w:val="none"/>
        </w:rPr>
        <w:t>围绕谈判要点谈判小组全体成员集中与各个谈判响应方分别进行谈判。逐家谈判一次为一个轮次，谈判轮次由谈判小组视情况决定。</w:t>
      </w:r>
      <w:r>
        <w:rPr>
          <w:rFonts w:hint="eastAsia" w:ascii="宋体" w:hAnsi="宋体"/>
          <w:b/>
          <w:color w:val="auto"/>
          <w:sz w:val="24"/>
          <w:highlight w:val="none"/>
        </w:rPr>
        <w:t>谈判轮次最多不超过3轮。</w:t>
      </w:r>
    </w:p>
    <w:p>
      <w:pPr>
        <w:autoSpaceDE w:val="0"/>
        <w:autoSpaceDN w:val="0"/>
        <w:adjustRightInd w:val="0"/>
        <w:spacing w:line="460" w:lineRule="exact"/>
        <w:ind w:firstLine="523"/>
        <w:rPr>
          <w:rFonts w:ascii="宋体" w:hAnsi="宋体"/>
          <w:color w:val="auto"/>
          <w:sz w:val="24"/>
          <w:highlight w:val="none"/>
        </w:rPr>
      </w:pPr>
      <w:r>
        <w:rPr>
          <w:rFonts w:hint="eastAsia" w:ascii="宋体" w:hAnsi="宋体" w:cs="仿宋_GB2312"/>
          <w:color w:val="auto"/>
          <w:kern w:val="0"/>
          <w:sz w:val="24"/>
          <w:highlight w:val="none"/>
          <w:lang w:val="zh-CN"/>
        </w:rPr>
        <w:t>（5）、</w:t>
      </w:r>
      <w:r>
        <w:rPr>
          <w:rFonts w:hint="eastAsia" w:ascii="宋体" w:hAnsi="宋体"/>
          <w:color w:val="auto"/>
          <w:sz w:val="24"/>
          <w:highlight w:val="none"/>
        </w:rPr>
        <w:t>采购文件有实质性变动的，谈判小组将以书面形式通知所有参加谈判的谈判响应方。</w:t>
      </w:r>
    </w:p>
    <w:p>
      <w:pPr>
        <w:autoSpaceDE w:val="0"/>
        <w:autoSpaceDN w:val="0"/>
        <w:adjustRightInd w:val="0"/>
        <w:spacing w:line="460" w:lineRule="exact"/>
        <w:ind w:firstLine="523"/>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（6）、最终报价。谈判结束后，谈判小组将要求所有实质性响应采购文件的谈判响应方在规定时间内确定最终报价。</w:t>
      </w:r>
    </w:p>
    <w:p>
      <w:pPr>
        <w:autoSpaceDE w:val="0"/>
        <w:autoSpaceDN w:val="0"/>
        <w:adjustRightInd w:val="0"/>
        <w:spacing w:line="460" w:lineRule="exact"/>
        <w:ind w:firstLine="523"/>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（7）、推荐成交候选供应商。谈判小组根据“符合采购需求、质量和服务相等且报价最低”的原则按最终报价由低到高顺序推荐成交候选供应商。</w:t>
      </w:r>
    </w:p>
    <w:p>
      <w:pPr>
        <w:autoSpaceDE w:val="0"/>
        <w:autoSpaceDN w:val="0"/>
        <w:adjustRightInd w:val="0"/>
        <w:spacing w:line="460" w:lineRule="exact"/>
        <w:ind w:firstLine="523"/>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（8）、谈判小组出具谈判报告。</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29、谈判要点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29.1、响应文件的完整性：</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响应文件是否按照采购文件要求内容填写，有否遗漏，资格证明文件是否齐全。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29.2、技术方案、质量等针对本次项目的综合评审：</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从技术性能、指标、质量、技术方案等各个方面综合考评。</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29.3、公司基本情况</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公司的规模、设备、人员结构和经营状况及成功案例等。</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29.4、售后服务承诺及保证措施</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售后服务的响应时间，修复时间，保修期限，延长期限等。</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29.5、供货时间</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29.6、报价构成及最终报价</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29.7、付款方式</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29.8、有否特别承诺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29.9、其他</w:t>
      </w:r>
    </w:p>
    <w:p>
      <w:pPr>
        <w:pStyle w:val="34"/>
        <w:spacing w:before="0" w:line="440" w:lineRule="exact"/>
        <w:ind w:firstLine="0" w:firstLineChars="0"/>
        <w:rPr>
          <w:rFonts w:ascii="宋体" w:hAnsi="宋体" w:cs="宋体"/>
          <w:b/>
          <w:color w:val="auto"/>
          <w:kern w:val="0"/>
          <w:szCs w:val="24"/>
          <w:highlight w:val="none"/>
        </w:rPr>
      </w:pPr>
      <w:r>
        <w:rPr>
          <w:rFonts w:hint="eastAsia" w:ascii="宋体" w:hAnsi="宋体" w:cs="宋体"/>
          <w:b/>
          <w:color w:val="auto"/>
          <w:kern w:val="0"/>
          <w:szCs w:val="24"/>
          <w:highlight w:val="none"/>
        </w:rPr>
        <w:t>30、解释权</w:t>
      </w:r>
    </w:p>
    <w:p>
      <w:pPr>
        <w:adjustRightInd w:val="0"/>
        <w:snapToGrid w:val="0"/>
        <w:spacing w:line="44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 xml:space="preserve">专用条款与通用条款有矛盾之处，以专用条款为准。凡涉及本次采购文件的解释权属于采购人与杭州市公共资源交易中心余杭分中心。   </w:t>
      </w:r>
    </w:p>
    <w:p>
      <w:pPr>
        <w:pStyle w:val="40"/>
        <w:rPr>
          <w:rFonts w:ascii="宋体" w:hAnsi="宋体" w:eastAsia="宋体"/>
          <w:color w:val="auto"/>
          <w:highlight w:val="none"/>
        </w:rPr>
      </w:pPr>
      <w:r>
        <w:rPr>
          <w:rFonts w:ascii="宋体" w:hAnsi="宋体" w:eastAsia="宋体"/>
          <w:color w:val="auto"/>
          <w:highlight w:val="none"/>
        </w:rPr>
        <w:br w:type="page"/>
      </w:r>
      <w:bookmarkStart w:id="5" w:name="_Toc303256681"/>
      <w:bookmarkStart w:id="6" w:name="_Toc12063"/>
      <w:r>
        <w:rPr>
          <w:rFonts w:hint="eastAsia" w:ascii="宋体" w:hAnsi="宋体" w:eastAsia="宋体"/>
          <w:color w:val="auto"/>
          <w:highlight w:val="none"/>
        </w:rPr>
        <w:t>第三部分 采购需求</w:t>
      </w:r>
      <w:bookmarkEnd w:id="5"/>
      <w:bookmarkEnd w:id="6"/>
    </w:p>
    <w:p>
      <w:pPr>
        <w:adjustRightInd w:val="0"/>
        <w:snapToGrid w:val="0"/>
        <w:spacing w:line="360" w:lineRule="auto"/>
        <w:rPr>
          <w:rFonts w:hint="eastAsia" w:ascii="宋体" w:hAnsi="宋体"/>
          <w:b/>
          <w:bCs/>
          <w:color w:val="auto"/>
          <w:sz w:val="24"/>
          <w:szCs w:val="24"/>
          <w:highlight w:val="none"/>
        </w:rPr>
      </w:pPr>
      <w:bookmarkStart w:id="7" w:name="_Toc303256693"/>
      <w:r>
        <w:rPr>
          <w:rFonts w:hint="eastAsia" w:ascii="宋体" w:hAnsi="宋体"/>
          <w:b/>
          <w:bCs/>
          <w:color w:val="auto"/>
          <w:sz w:val="24"/>
          <w:szCs w:val="24"/>
          <w:highlight w:val="none"/>
        </w:rPr>
        <w:t>一、项目概述：</w:t>
      </w:r>
    </w:p>
    <w:p>
      <w:pPr>
        <w:adjustRightInd w:val="0"/>
        <w:snapToGrid w:val="0"/>
        <w:spacing w:line="360" w:lineRule="auto"/>
        <w:ind w:firstLine="353" w:firstLineChars="147"/>
        <w:rPr>
          <w:rFonts w:hint="eastAsia" w:ascii="宋体" w:hAnsi="宋体"/>
          <w:bCs/>
          <w:color w:val="auto"/>
          <w:sz w:val="24"/>
          <w:szCs w:val="24"/>
          <w:highlight w:val="none"/>
        </w:rPr>
      </w:pPr>
      <w:r>
        <w:rPr>
          <w:rFonts w:hint="eastAsia" w:ascii="宋体" w:hAnsi="宋体"/>
          <w:bCs/>
          <w:color w:val="auto"/>
          <w:sz w:val="24"/>
          <w:szCs w:val="24"/>
          <w:highlight w:val="none"/>
        </w:rPr>
        <w:t>本项目为“交钥匙”项目，采购内容包括余杭区小额公共资源交易电子招投标系统</w:t>
      </w:r>
      <w:r>
        <w:rPr>
          <w:rFonts w:hint="eastAsia" w:ascii="宋体" w:hAnsi="宋体"/>
          <w:bCs/>
          <w:color w:val="auto"/>
          <w:sz w:val="24"/>
          <w:szCs w:val="24"/>
          <w:highlight w:val="none"/>
          <w:lang w:eastAsia="zh-CN"/>
        </w:rPr>
        <w:t>开发、</w:t>
      </w:r>
      <w:r>
        <w:rPr>
          <w:rFonts w:hint="eastAsia" w:ascii="宋体" w:hAnsi="宋体"/>
          <w:bCs/>
          <w:color w:val="auto"/>
          <w:sz w:val="24"/>
          <w:szCs w:val="24"/>
          <w:highlight w:val="none"/>
        </w:rPr>
        <w:t>培训、质保期内的售后服务等。投标报价包括余杭区小额公共资源交易电子招投标系统</w:t>
      </w:r>
      <w:r>
        <w:rPr>
          <w:rFonts w:hint="eastAsia" w:ascii="宋体" w:hAnsi="宋体"/>
          <w:bCs/>
          <w:color w:val="auto"/>
          <w:sz w:val="24"/>
          <w:szCs w:val="24"/>
          <w:highlight w:val="none"/>
          <w:lang w:eastAsia="zh-CN"/>
        </w:rPr>
        <w:t>开发</w:t>
      </w:r>
      <w:r>
        <w:rPr>
          <w:rFonts w:hint="eastAsia" w:ascii="宋体" w:hAnsi="宋体"/>
          <w:bCs/>
          <w:color w:val="auto"/>
          <w:sz w:val="24"/>
          <w:szCs w:val="24"/>
          <w:highlight w:val="none"/>
        </w:rPr>
        <w:t>、售后服务费、培训费、有关部门的验收费、政策性文件规定及合同包含的所有风险、责任等各项全部费用。</w:t>
      </w:r>
    </w:p>
    <w:p>
      <w:pPr>
        <w:adjustRightInd w:val="0"/>
        <w:snapToGrid w:val="0"/>
        <w:spacing w:line="360" w:lineRule="auto"/>
        <w:rPr>
          <w:rFonts w:hint="eastAsia"/>
          <w:color w:val="auto"/>
          <w:highlight w:val="none"/>
        </w:rPr>
      </w:pPr>
      <w:r>
        <w:rPr>
          <w:rFonts w:hint="eastAsia" w:ascii="宋体" w:hAnsi="宋体"/>
          <w:b/>
          <w:bCs/>
          <w:color w:val="auto"/>
          <w:sz w:val="24"/>
          <w:szCs w:val="24"/>
          <w:highlight w:val="none"/>
        </w:rPr>
        <w:t>二、具体服务内容、要求等：</w:t>
      </w:r>
    </w:p>
    <w:tbl>
      <w:tblPr>
        <w:tblStyle w:val="31"/>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502"/>
        <w:gridCol w:w="6472"/>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auto"/>
                <w:sz w:val="24"/>
                <w:highlight w:val="none"/>
              </w:rPr>
            </w:pPr>
            <w:r>
              <w:rPr>
                <w:rFonts w:hint="eastAsia" w:ascii="宋体" w:hAnsi="宋体"/>
                <w:b/>
                <w:color w:val="auto"/>
                <w:sz w:val="24"/>
                <w:highlight w:val="none"/>
              </w:rPr>
              <w:t>序号</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auto"/>
                <w:sz w:val="24"/>
                <w:highlight w:val="none"/>
              </w:rPr>
            </w:pPr>
            <w:r>
              <w:rPr>
                <w:rFonts w:hint="eastAsia" w:ascii="宋体" w:hAnsi="宋体"/>
                <w:b/>
                <w:color w:val="auto"/>
                <w:sz w:val="24"/>
                <w:highlight w:val="none"/>
              </w:rPr>
              <w:t>品名</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auto"/>
                <w:sz w:val="24"/>
                <w:highlight w:val="none"/>
              </w:rPr>
            </w:pPr>
            <w:r>
              <w:rPr>
                <w:rFonts w:hint="eastAsia" w:ascii="宋体" w:hAnsi="宋体"/>
                <w:b/>
                <w:bCs/>
                <w:color w:val="auto"/>
                <w:sz w:val="24"/>
                <w:szCs w:val="24"/>
                <w:highlight w:val="none"/>
              </w:rPr>
              <w:t>具体服务内容、要求等</w:t>
            </w: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auto"/>
                <w:sz w:val="24"/>
                <w:highlight w:val="none"/>
              </w:rPr>
            </w:pPr>
            <w:r>
              <w:rPr>
                <w:rFonts w:hint="eastAsia" w:ascii="宋体" w:hAnsi="宋体"/>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hAnsi="宋体" w:cs="宋体"/>
                <w:b/>
                <w:bCs/>
                <w:color w:val="auto"/>
                <w:highlight w:val="none"/>
              </w:rPr>
            </w:pPr>
            <w:r>
              <w:rPr>
                <w:rFonts w:hint="eastAsia" w:hAnsi="宋体" w:cs="宋体"/>
                <w:b/>
                <w:bCs/>
                <w:color w:val="auto"/>
                <w:highlight w:val="none"/>
              </w:rPr>
              <w:t>一</w:t>
            </w:r>
          </w:p>
        </w:tc>
        <w:tc>
          <w:tcPr>
            <w:tcW w:w="150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hAnsi="宋体" w:cs="宋体"/>
                <w:b/>
                <w:bCs/>
                <w:color w:val="auto"/>
                <w:highlight w:val="none"/>
              </w:rPr>
            </w:pPr>
            <w:r>
              <w:rPr>
                <w:rFonts w:hint="eastAsia" w:hAnsi="宋体" w:cs="宋体"/>
                <w:b/>
                <w:bCs/>
                <w:color w:val="auto"/>
                <w:highlight w:val="none"/>
              </w:rPr>
              <w:t>电子交易平台</w:t>
            </w:r>
          </w:p>
        </w:tc>
        <w:tc>
          <w:tcPr>
            <w:tcW w:w="647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hAnsi="宋体" w:cs="宋体"/>
                <w:b/>
                <w:bCs/>
                <w:color w:val="auto"/>
                <w:highlight w:val="none"/>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1</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全流程电子招投标模块</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color w:val="auto"/>
                <w:highlight w:val="none"/>
              </w:rPr>
            </w:pPr>
            <w:r>
              <w:rPr>
                <w:rFonts w:hint="eastAsia" w:ascii="宋体" w:hAnsi="宋体" w:cs="宋体"/>
                <w:color w:val="auto"/>
                <w:highlight w:val="none"/>
              </w:rPr>
              <w:t>应具备电子招投标的项目登记、项目计划、招标公告到项目中标、合同履约等十多个节点的全部流程，同时流程节点高度可配置。</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2</w:t>
            </w:r>
          </w:p>
        </w:tc>
        <w:tc>
          <w:tcPr>
            <w:tcW w:w="150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18"/>
                <w:szCs w:val="18"/>
                <w:highlight w:val="none"/>
              </w:rPr>
            </w:pPr>
            <w:r>
              <w:rPr>
                <w:rFonts w:hint="eastAsia" w:ascii="宋体" w:hAnsi="宋体" w:cs="宋体"/>
                <w:color w:val="auto"/>
                <w:highlight w:val="none"/>
              </w:rPr>
              <w:t>保证金模块</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eastAsia="宋体" w:cs="宋体"/>
                <w:color w:val="auto"/>
                <w:highlight w:val="none"/>
              </w:rPr>
              <w:t>平台</w:t>
            </w:r>
            <w:r>
              <w:rPr>
                <w:rFonts w:hint="eastAsia" w:ascii="宋体" w:hAnsi="宋体" w:eastAsia="宋体" w:cs="宋体"/>
                <w:color w:val="auto"/>
                <w:highlight w:val="none"/>
                <w:lang w:eastAsia="zh-CN"/>
              </w:rPr>
              <w:t>应具备</w:t>
            </w:r>
            <w:r>
              <w:rPr>
                <w:rFonts w:hint="eastAsia" w:ascii="宋体" w:hAnsi="宋体" w:eastAsia="宋体" w:cs="宋体"/>
                <w:color w:val="auto"/>
                <w:highlight w:val="none"/>
              </w:rPr>
              <w:t>保证金审查功能</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在平台上运行的每个招标项目，平台都能对投标人进行保证金缴纳情况审查。</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3</w:t>
            </w:r>
          </w:p>
        </w:tc>
        <w:tc>
          <w:tcPr>
            <w:tcW w:w="150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s="宋体"/>
                <w:color w:val="auto"/>
                <w:highlight w:val="none"/>
              </w:rPr>
            </w:pPr>
            <w:r>
              <w:rPr>
                <w:rFonts w:hint="eastAsia" w:ascii="宋体" w:hAnsi="宋体" w:cs="宋体"/>
                <w:color w:val="auto"/>
                <w:highlight w:val="none"/>
              </w:rPr>
              <w:t>信息发布模块</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平台应具备招标公告、资格预审公告、中标结果公示等信息在线编辑、签章及发布功能。</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4</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投标文件递交模块</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color w:val="auto"/>
                <w:highlight w:val="none"/>
              </w:rPr>
            </w:pPr>
            <w:r>
              <w:rPr>
                <w:rFonts w:hint="eastAsia" w:ascii="宋体" w:hAnsi="宋体" w:cs="宋体"/>
                <w:color w:val="auto"/>
                <w:highlight w:val="none"/>
              </w:rPr>
              <w:t>交易平台不设置投标报名操作，投标人在交易平台完成上传电子投标文件后，视为投标人参与项目投标。</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5</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场地预约模块</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color w:val="auto"/>
                <w:highlight w:val="none"/>
              </w:rPr>
            </w:pPr>
            <w:r>
              <w:rPr>
                <w:rFonts w:hint="eastAsia" w:ascii="宋体" w:hAnsi="宋体" w:cs="宋体"/>
                <w:color w:val="auto"/>
                <w:highlight w:val="none"/>
              </w:rPr>
              <w:t>应具备开评标场地预约功能。包括在线查看指定日期场地数量及空闲情况，预约选择也可按半天、全天或具体时间段等灵活配置。</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6</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专家录入模块</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交易平台应具备专家信息录入功能，招标人或代理可将线下自行抽取的评标专家信息录入交易系统中。</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7</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开评定标信息录入模块</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交易平台应提供招投标信息管理功能，满足线下招标项目开评定标信息的上传。</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8</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电子归档模块</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在招投标交易过程会产生大量的电子文件，平台应提供一键归档功能，自动打包整理归档的项目招投标资料。</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9</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在线审核模块</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交易平台具备实现招投标项目的全流程在线审批的功能，同时也能根据地区政府部门审批流程或业主单位的内部管理规范自由配置审核权限及审核节点。</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10</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统计分析模块</w:t>
            </w:r>
          </w:p>
        </w:tc>
        <w:tc>
          <w:tcPr>
            <w:tcW w:w="647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auto"/>
                <w:sz w:val="18"/>
                <w:szCs w:val="18"/>
                <w:highlight w:val="none"/>
              </w:rPr>
            </w:pPr>
            <w:r>
              <w:rPr>
                <w:rFonts w:hint="eastAsia" w:hAnsi="宋体"/>
                <w:color w:val="auto"/>
                <w:szCs w:val="21"/>
                <w:highlight w:val="none"/>
              </w:rPr>
              <w:t>对招标过程中产生的数据进行有效利用，交易平台应设置不同类型的数据统计。包括企业招标统计、企业代理统计、企业投标统计、项目情况统计等。</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hAnsi="宋体" w:cs="宋体"/>
                <w:b/>
                <w:bCs/>
                <w:color w:val="auto"/>
                <w:highlight w:val="none"/>
              </w:rPr>
            </w:pPr>
            <w:r>
              <w:rPr>
                <w:rFonts w:hint="eastAsia" w:hAnsi="宋体" w:cs="宋体"/>
                <w:b/>
                <w:bCs/>
                <w:color w:val="auto"/>
                <w:highlight w:val="none"/>
              </w:rPr>
              <w:t>二</w:t>
            </w:r>
          </w:p>
        </w:tc>
        <w:tc>
          <w:tcPr>
            <w:tcW w:w="150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hAnsi="宋体" w:cs="宋体"/>
                <w:b/>
                <w:bCs/>
                <w:color w:val="auto"/>
                <w:highlight w:val="none"/>
              </w:rPr>
            </w:pPr>
            <w:r>
              <w:rPr>
                <w:rFonts w:hint="eastAsia" w:hAnsi="宋体" w:cs="宋体"/>
                <w:b/>
                <w:bCs/>
                <w:color w:val="auto"/>
                <w:highlight w:val="none"/>
              </w:rPr>
              <w:t>文件编制系统</w:t>
            </w:r>
          </w:p>
        </w:tc>
        <w:tc>
          <w:tcPr>
            <w:tcW w:w="647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18"/>
                <w:szCs w:val="18"/>
                <w:highlight w:val="none"/>
              </w:rPr>
            </w:pP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11</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电子招标文件编制系统</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应具备的主要功能包括通过招标文件范本快速制作电子招标文件，设定评标办法、评标参数，通过 CA 电子签章的方式，形成合法的电子招标文件。</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12</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电子投标文件编制系统</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应具备的</w:t>
            </w:r>
            <w:r>
              <w:rPr>
                <w:rFonts w:hint="eastAsia" w:ascii="宋体" w:hAnsi="宋体" w:cs="宋体"/>
                <w:color w:val="auto"/>
                <w:szCs w:val="21"/>
                <w:highlight w:val="none"/>
              </w:rPr>
              <w:t>主要功能包括通过招标文件提供的投标文件格式，快速制作电子投标文件，并通过 CA 电子签章的方式，形成合法的电子投标文件。</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hAnsi="宋体" w:cs="宋体"/>
                <w:b/>
                <w:bCs/>
                <w:color w:val="auto"/>
                <w:highlight w:val="none"/>
              </w:rPr>
            </w:pPr>
            <w:r>
              <w:rPr>
                <w:rFonts w:hint="eastAsia" w:hAnsi="宋体" w:cs="宋体"/>
                <w:b/>
                <w:bCs/>
                <w:color w:val="auto"/>
                <w:highlight w:val="none"/>
              </w:rPr>
              <w:t>三</w:t>
            </w:r>
          </w:p>
        </w:tc>
        <w:tc>
          <w:tcPr>
            <w:tcW w:w="150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hAnsi="宋体" w:cs="宋体"/>
                <w:b/>
                <w:bCs/>
                <w:color w:val="auto"/>
                <w:highlight w:val="none"/>
              </w:rPr>
            </w:pPr>
            <w:r>
              <w:rPr>
                <w:rFonts w:hint="eastAsia" w:hAnsi="宋体" w:cs="宋体"/>
                <w:b/>
                <w:bCs/>
                <w:color w:val="auto"/>
                <w:highlight w:val="none"/>
              </w:rPr>
              <w:t>网上开标大厅</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网上开标大厅主要用于电子招投标项目在线开标工作，适用于工程、货物、服务等项目类型，包括网上开标、远程监控二合一系统。</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13</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olor w:val="auto"/>
                <w:sz w:val="18"/>
                <w:szCs w:val="18"/>
                <w:highlight w:val="none"/>
              </w:rPr>
            </w:pPr>
            <w:r>
              <w:rPr>
                <w:rFonts w:hint="eastAsia" w:ascii="宋体" w:hAnsi="宋体" w:cs="宋体"/>
                <w:color w:val="auto"/>
                <w:highlight w:val="none"/>
              </w:rPr>
              <w:t>开标准备</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开标大厅应实现自动列出今日开标项目，显示开标倒计时钟，并在即将开标前短信通知投标人，提醒其登录网上开标大厅查看开标及抽签情况。</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14</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项目解密</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开标大厅应具备项目解密功能：到达开标时间后，由交易中心、招标人、代理公司三方同时利用CA锁进行项目解密，系统自动获取所有投标文件并进行集中解密。</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15</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公布名单</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开标大厅应具备自动公布投标单位名单信息的功能，且应该显示电子标书状态、递交时间等信息。</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16</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符合性审查</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开标大厅应具备自动对已公布的投标单位进行符合性审查的功能，审查内容主要包含投标保证金审查、企业资格审查等内容。</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17</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系统抽签</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针对明标抽签法（抽投标人）及合理低价法（抽系数）的招标项目，开标大厅应设置抽签程序。抽签方式既支持系统自动抽签，也支持人工抽签，由招标人或投标人代表现场实施抽签，抽签全程录像直播。</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18</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诚信定标</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系统完成抽后，网上开标大厅确定候选单位中诚信分最高的企业为中标人，诚信分来自建管处的企业诚信信息。其中，诚信分为0分的投标单位，要增加得分说明。</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19</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开标结束</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开标完成，系统应具备将开标电子资料（开标记录表、抽签结果表等）推送至自交易系统，并通知投标人最终结果的功能。</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20</w:t>
            </w:r>
          </w:p>
        </w:tc>
        <w:tc>
          <w:tcPr>
            <w:tcW w:w="150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18"/>
                <w:szCs w:val="18"/>
                <w:highlight w:val="none"/>
              </w:rPr>
            </w:pPr>
            <w:r>
              <w:rPr>
                <w:rFonts w:hint="eastAsia" w:ascii="宋体" w:hAnsi="宋体" w:cs="宋体"/>
                <w:color w:val="auto"/>
                <w:highlight w:val="none"/>
              </w:rPr>
              <w:t>视频查看</w:t>
            </w:r>
          </w:p>
        </w:tc>
        <w:tc>
          <w:tcPr>
            <w:tcW w:w="6472" w:type="dxa"/>
            <w:tcBorders>
              <w:top w:val="single" w:color="auto" w:sz="4" w:space="0"/>
              <w:left w:val="single" w:color="auto" w:sz="4" w:space="0"/>
              <w:bottom w:val="single" w:color="auto" w:sz="4" w:space="0"/>
              <w:right w:val="single" w:color="auto" w:sz="4" w:space="0"/>
            </w:tcBorders>
            <w:vAlign w:val="center"/>
          </w:tcPr>
          <w:p>
            <w:pPr>
              <w:spacing w:line="520" w:lineRule="atLeast"/>
              <w:jc w:val="left"/>
              <w:rPr>
                <w:rFonts w:hint="eastAsia" w:ascii="宋体" w:hAnsi="宋体"/>
                <w:color w:val="auto"/>
                <w:sz w:val="18"/>
                <w:szCs w:val="18"/>
                <w:highlight w:val="none"/>
              </w:rPr>
            </w:pPr>
            <w:r>
              <w:rPr>
                <w:rFonts w:hint="eastAsia" w:ascii="宋体" w:hAnsi="宋体" w:cs="宋体"/>
                <w:color w:val="auto"/>
                <w:highlight w:val="none"/>
              </w:rPr>
              <w:t>网上开标大厅为投标人提供视频直播通道，投标人既可在电脑或手机上查看开标现场情况及开标过程，开标视频支持1天内回看，开完标的视频将进行刻录留档。</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hAnsi="宋体" w:cs="宋体"/>
                <w:b/>
                <w:bCs/>
                <w:color w:val="auto"/>
                <w:highlight w:val="none"/>
              </w:rPr>
            </w:pPr>
            <w:r>
              <w:rPr>
                <w:rFonts w:hint="eastAsia" w:hAnsi="宋体" w:cs="宋体"/>
                <w:b/>
                <w:bCs/>
                <w:color w:val="auto"/>
                <w:highlight w:val="none"/>
              </w:rPr>
              <w:t>四</w:t>
            </w:r>
          </w:p>
        </w:tc>
        <w:tc>
          <w:tcPr>
            <w:tcW w:w="150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hAnsi="宋体" w:cs="宋体"/>
                <w:b/>
                <w:bCs/>
                <w:color w:val="auto"/>
                <w:highlight w:val="none"/>
              </w:rPr>
            </w:pPr>
            <w:r>
              <w:rPr>
                <w:rFonts w:hint="eastAsia" w:hAnsi="宋体" w:cs="宋体"/>
                <w:b/>
                <w:bCs/>
                <w:color w:val="auto"/>
                <w:highlight w:val="none"/>
              </w:rPr>
              <w:t>企业库管理</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建立企业库，实现企业的准入评估、账户管理、诚信管理及查询统计功能。</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21</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企业库管理</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通过企业的网上注册申请，并根据合格企业评估机制，建立企业信息库，实现对企业的单位信息、人员信息及相关原件扫描件的管理。</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22</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企业准入评估</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应具备企业准入审核功能：企业完成注册后，相关人员进行审核，企业审核通过的企业才可参与余杭区小额电子招投标项目。</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23</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账户管理</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应提供账户管理功能：实现注册企业的账号管理、CA证书KEY管理等功能。根据相关规定可以启用、暂停、作废企业账户；</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24</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诚信管理</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应提供账户管理功能：记录企业的诚信信息，并支持黑名单管理。系统支持自动获取或人工更新来自建筑业管理处对外公布的诚信信息。</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25</w:t>
            </w:r>
          </w:p>
        </w:tc>
        <w:tc>
          <w:tcPr>
            <w:tcW w:w="150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18"/>
                <w:szCs w:val="18"/>
                <w:highlight w:val="none"/>
              </w:rPr>
            </w:pPr>
            <w:r>
              <w:rPr>
                <w:rFonts w:hint="eastAsia" w:ascii="宋体" w:hAnsi="宋体" w:cs="宋体"/>
                <w:color w:val="auto"/>
                <w:highlight w:val="none"/>
              </w:rPr>
              <w:t>查询统计</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应提供企业信息的查询统计功能：不同用户账户可以根据预先设定的权限分配规则，查询一定时间段内的交易数据信息，以及企业的基本信息、业绩、奖励情况、不良信用记录等。</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hAnsi="宋体" w:cs="宋体"/>
                <w:b/>
                <w:bCs/>
                <w:color w:val="auto"/>
                <w:highlight w:val="none"/>
              </w:rPr>
            </w:pPr>
            <w:r>
              <w:rPr>
                <w:rFonts w:hint="eastAsia" w:hAnsi="宋体" w:cs="宋体"/>
                <w:b/>
                <w:bCs/>
                <w:color w:val="auto"/>
                <w:highlight w:val="none"/>
              </w:rPr>
              <w:t>五</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hAnsi="宋体" w:cs="宋体"/>
                <w:b/>
                <w:bCs/>
                <w:color w:val="auto"/>
                <w:highlight w:val="none"/>
              </w:rPr>
            </w:pPr>
            <w:r>
              <w:rPr>
                <w:rFonts w:hint="eastAsia" w:hAnsi="宋体" w:cs="宋体"/>
                <w:b/>
                <w:bCs/>
                <w:color w:val="auto"/>
                <w:highlight w:val="none"/>
              </w:rPr>
              <w:t>招投标比对分析</w:t>
            </w:r>
          </w:p>
          <w:p>
            <w:pPr>
              <w:spacing w:line="520" w:lineRule="atLeast"/>
              <w:jc w:val="center"/>
              <w:rPr>
                <w:rFonts w:hint="eastAsia" w:hAnsi="宋体" w:cs="宋体"/>
                <w:b/>
                <w:bCs/>
                <w:color w:val="auto"/>
                <w:highlight w:val="none"/>
              </w:rPr>
            </w:pPr>
          </w:p>
        </w:tc>
        <w:tc>
          <w:tcPr>
            <w:tcW w:w="6472" w:type="dxa"/>
            <w:tcBorders>
              <w:top w:val="single" w:color="auto" w:sz="4" w:space="0"/>
              <w:left w:val="single" w:color="auto" w:sz="4" w:space="0"/>
              <w:bottom w:val="single" w:color="auto" w:sz="4" w:space="0"/>
              <w:right w:val="single" w:color="auto" w:sz="4" w:space="0"/>
            </w:tcBorders>
            <w:vAlign w:val="center"/>
          </w:tcPr>
          <w:p>
            <w:pPr>
              <w:spacing w:line="520" w:lineRule="atLeast"/>
              <w:rPr>
                <w:rFonts w:hint="eastAsia" w:ascii="宋体" w:hAnsi="宋体"/>
                <w:color w:val="auto"/>
                <w:sz w:val="18"/>
                <w:szCs w:val="18"/>
                <w:highlight w:val="none"/>
              </w:rPr>
            </w:pPr>
            <w:r>
              <w:rPr>
                <w:rFonts w:hint="eastAsia" w:ascii="宋体" w:hAnsi="宋体" w:cs="宋体"/>
                <w:color w:val="auto"/>
                <w:highlight w:val="none"/>
              </w:rPr>
              <w:t>在交易平台提供对招标项目投标人及投标文件进行比对分析的功能，要包含招投标大数据分析。比对分析的否决条款，直接否决投标人通过符合性审查。</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26</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IP、机器码检测</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应提供IP、机器码的检测：对比分析投标人的IP地址、计算机硬件信息、工程量清单加密加密锁信息等。</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27</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投标报价分析</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应具备对投标报价的检测分析功能：检测分析不同投标人的投标报价（总价）是否存在异常一致或者规律性变化。</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28</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工程量清单分析</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应具备对工程量清单的检测分析功能：检测分析投标人工程量清单的相似性。包含清单组成异常一致、清单算数性错误异常一致、主要材料设备单价异常一致等。</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29</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文件雷同性分析</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应提供对投标文件雷同性检测分析的功能：检测分析技术文件（如有）的内容与本招标项目的其他投标人的技术文件内容雷同率。</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30</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保证金账户审查</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应具备检测不同投标人的投标保证金是否由同一账户资金缴纳的功能。</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31</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大数据分析</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应具备对招投标大数据分析功能：通过对历史招投标交易数据及企业招投标行为的大数据分析，帮助招投监管部门分析企业的历年招投标行为。包含投标人历史中标概率、雷同频率，计算机及加密锁交叉使用行为等。</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hAnsi="宋体" w:cs="宋体"/>
                <w:b/>
                <w:bCs/>
                <w:color w:val="auto"/>
                <w:highlight w:val="none"/>
              </w:rPr>
            </w:pPr>
            <w:r>
              <w:rPr>
                <w:rFonts w:hint="eastAsia" w:hAnsi="宋体" w:cs="宋体"/>
                <w:b/>
                <w:bCs/>
                <w:color w:val="auto"/>
                <w:highlight w:val="none"/>
              </w:rPr>
              <w:t>六</w:t>
            </w: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hAnsi="宋体" w:cs="宋体"/>
                <w:b/>
                <w:bCs/>
                <w:color w:val="auto"/>
                <w:highlight w:val="none"/>
              </w:rPr>
            </w:pPr>
            <w:r>
              <w:rPr>
                <w:rFonts w:hint="eastAsia" w:hAnsi="宋体" w:cs="宋体"/>
                <w:b/>
                <w:bCs/>
                <w:color w:val="auto"/>
                <w:highlight w:val="none"/>
              </w:rPr>
              <w:t>小额交易工匠管理</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建设小额交易工匠管理模块，实现个人工匠的人员信息管理、工匠中标项目信息录入等功能。</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32</w:t>
            </w:r>
          </w:p>
        </w:tc>
        <w:tc>
          <w:tcPr>
            <w:tcW w:w="150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18"/>
                <w:szCs w:val="18"/>
                <w:highlight w:val="none"/>
              </w:rPr>
            </w:pPr>
            <w:r>
              <w:rPr>
                <w:rFonts w:hint="eastAsia" w:ascii="宋体" w:hAnsi="宋体"/>
                <w:color w:val="auto"/>
                <w:sz w:val="18"/>
                <w:szCs w:val="18"/>
                <w:highlight w:val="none"/>
              </w:rPr>
              <w:t>工匠库管理</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应提供工匠信息库管理模块：支持共享信息按模板批量导入，应具备在线对工匠个人信息的增、删、改、查等基本操作。</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24"/>
                <w:highlight w:val="none"/>
              </w:rPr>
            </w:pPr>
            <w:r>
              <w:rPr>
                <w:rFonts w:hint="eastAsia" w:ascii="宋体" w:hAnsi="宋体"/>
                <w:color w:val="auto"/>
                <w:sz w:val="24"/>
                <w:highlight w:val="none"/>
              </w:rPr>
              <w:t>33</w:t>
            </w:r>
          </w:p>
        </w:tc>
        <w:tc>
          <w:tcPr>
            <w:tcW w:w="150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 w:val="18"/>
                <w:szCs w:val="18"/>
                <w:highlight w:val="none"/>
              </w:rPr>
            </w:pPr>
            <w:r>
              <w:rPr>
                <w:rFonts w:hint="eastAsia" w:ascii="宋体" w:hAnsi="宋体"/>
                <w:color w:val="auto"/>
                <w:sz w:val="18"/>
                <w:szCs w:val="18"/>
                <w:highlight w:val="none"/>
              </w:rPr>
              <w:t>中标项目管理</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应提供个人工匠中标信息管理功能，支持将线下组织的个人工匠项目的中标信息上传。</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hAnsi="宋体" w:cs="宋体"/>
                <w:b/>
                <w:bCs/>
                <w:color w:val="auto"/>
                <w:highlight w:val="none"/>
              </w:rPr>
            </w:pPr>
            <w:r>
              <w:rPr>
                <w:rFonts w:hint="eastAsia" w:hAnsi="宋体" w:cs="宋体"/>
                <w:b/>
                <w:bCs/>
                <w:color w:val="auto"/>
                <w:highlight w:val="none"/>
              </w:rPr>
              <w:t>七</w:t>
            </w:r>
          </w:p>
        </w:tc>
        <w:tc>
          <w:tcPr>
            <w:tcW w:w="1502"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hAnsi="宋体" w:cs="宋体"/>
                <w:b/>
                <w:bCs/>
                <w:color w:val="auto"/>
                <w:highlight w:val="none"/>
              </w:rPr>
            </w:pPr>
            <w:r>
              <w:rPr>
                <w:rFonts w:hint="eastAsia" w:hAnsi="宋体" w:cs="宋体"/>
                <w:b/>
                <w:bCs/>
                <w:color w:val="auto"/>
                <w:highlight w:val="none"/>
              </w:rPr>
              <w:t>CA应用</w:t>
            </w:r>
          </w:p>
        </w:tc>
        <w:tc>
          <w:tcPr>
            <w:tcW w:w="64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olor w:val="auto"/>
                <w:sz w:val="18"/>
                <w:szCs w:val="18"/>
                <w:highlight w:val="none"/>
              </w:rPr>
            </w:pPr>
            <w:r>
              <w:rPr>
                <w:rFonts w:hint="eastAsia" w:ascii="宋体" w:hAnsi="宋体" w:cs="宋体"/>
                <w:color w:val="auto"/>
                <w:highlight w:val="none"/>
              </w:rPr>
              <w:t>系统集成CA技术，系统应提供利用CA实现用户的登录以及文件的加密、解密、签章等功能。</w:t>
            </w:r>
          </w:p>
        </w:tc>
        <w:tc>
          <w:tcPr>
            <w:tcW w:w="854" w:type="dxa"/>
            <w:tcBorders>
              <w:top w:val="single" w:color="auto" w:sz="4" w:space="0"/>
              <w:left w:val="single" w:color="auto" w:sz="4" w:space="0"/>
              <w:bottom w:val="single" w:color="auto" w:sz="4" w:space="0"/>
              <w:right w:val="single" w:color="auto" w:sz="4" w:space="0"/>
            </w:tcBorders>
            <w:vAlign w:val="center"/>
          </w:tcPr>
          <w:p>
            <w:pPr>
              <w:spacing w:line="520" w:lineRule="atLeast"/>
              <w:jc w:val="center"/>
              <w:rPr>
                <w:rFonts w:hint="eastAsia" w:ascii="宋体" w:hAnsi="宋体"/>
                <w:color w:val="auto"/>
                <w:szCs w:val="21"/>
                <w:highlight w:val="none"/>
              </w:rPr>
            </w:pPr>
            <w:r>
              <w:rPr>
                <w:rFonts w:hint="eastAsia" w:ascii="宋体" w:hAnsi="宋体"/>
                <w:color w:val="auto"/>
                <w:szCs w:val="21"/>
                <w:highlight w:val="none"/>
              </w:rPr>
              <w:t>1套</w:t>
            </w:r>
          </w:p>
        </w:tc>
      </w:tr>
    </w:tbl>
    <w:p>
      <w:pPr>
        <w:adjustRightInd w:val="0"/>
        <w:snapToGrid w:val="0"/>
        <w:spacing w:line="360" w:lineRule="auto"/>
        <w:rPr>
          <w:rFonts w:hint="eastAsia" w:ascii="宋体" w:hAnsi="宋体"/>
          <w:bCs/>
          <w:color w:val="auto"/>
          <w:sz w:val="24"/>
          <w:szCs w:val="24"/>
          <w:highlight w:val="none"/>
        </w:rPr>
      </w:pPr>
    </w:p>
    <w:p>
      <w:pPr>
        <w:adjustRightInd w:val="0"/>
        <w:snapToGrid w:val="0"/>
        <w:spacing w:line="360" w:lineRule="auto"/>
        <w:rPr>
          <w:rFonts w:hint="eastAsia" w:ascii="宋体" w:hAnsi="宋体"/>
          <w:bCs/>
          <w:color w:val="auto"/>
          <w:sz w:val="24"/>
          <w:szCs w:val="24"/>
          <w:highlight w:val="none"/>
        </w:rPr>
      </w:pPr>
      <w:r>
        <w:rPr>
          <w:rFonts w:hint="eastAsia" w:ascii="宋体" w:hAnsi="宋体"/>
          <w:b/>
          <w:bCs/>
          <w:color w:val="auto"/>
          <w:sz w:val="24"/>
          <w:szCs w:val="24"/>
          <w:highlight w:val="none"/>
          <w:lang w:eastAsia="zh-CN"/>
        </w:rPr>
        <w:t>三</w:t>
      </w:r>
      <w:r>
        <w:rPr>
          <w:rFonts w:hint="eastAsia" w:ascii="宋体" w:hAnsi="宋体"/>
          <w:b/>
          <w:bCs/>
          <w:color w:val="auto"/>
          <w:sz w:val="24"/>
          <w:szCs w:val="24"/>
          <w:highlight w:val="none"/>
        </w:rPr>
        <w:t>、</w:t>
      </w:r>
      <w:r>
        <w:rPr>
          <w:rFonts w:hint="eastAsia" w:ascii="宋体" w:hAnsi="宋体"/>
          <w:b/>
          <w:bCs/>
          <w:color w:val="auto"/>
          <w:sz w:val="24"/>
          <w:szCs w:val="24"/>
          <w:highlight w:val="none"/>
          <w:lang w:val="en-US" w:eastAsia="zh-CN"/>
        </w:rPr>
        <w:t>项目人员配置要求</w:t>
      </w:r>
      <w:r>
        <w:rPr>
          <w:rFonts w:hint="eastAsia" w:ascii="宋体" w:hAnsi="宋体"/>
          <w:b/>
          <w:bCs/>
          <w:color w:val="auto"/>
          <w:sz w:val="24"/>
          <w:szCs w:val="24"/>
          <w:highlight w:val="none"/>
        </w:rPr>
        <w:t>：</w:t>
      </w:r>
    </w:p>
    <w:p>
      <w:pPr>
        <w:pStyle w:val="54"/>
        <w:numPr>
          <w:numId w:val="0"/>
        </w:numPr>
        <w:ind w:firstLine="480" w:firstLineChars="200"/>
        <w:rPr>
          <w:rFonts w:hint="eastAsia"/>
          <w:color w:val="auto"/>
          <w:highlight w:val="none"/>
          <w:lang w:val="en-US" w:eastAsia="zh-CN"/>
        </w:rPr>
      </w:pPr>
      <w:r>
        <w:rPr>
          <w:rFonts w:hint="default"/>
          <w:color w:val="auto"/>
          <w:highlight w:val="none"/>
          <w:lang w:val="en-US" w:eastAsia="zh-CN"/>
        </w:rPr>
        <w:t>为了保证项目质量，</w:t>
      </w:r>
      <w:r>
        <w:rPr>
          <w:rFonts w:hint="eastAsia"/>
          <w:color w:val="auto"/>
          <w:highlight w:val="none"/>
          <w:lang w:val="en-US" w:eastAsia="zh-CN"/>
        </w:rPr>
        <w:t>投标单位须提供至少</w:t>
      </w:r>
      <w:r>
        <w:rPr>
          <w:rFonts w:hint="default"/>
          <w:color w:val="auto"/>
          <w:highlight w:val="none"/>
          <w:lang w:val="en-US" w:eastAsia="zh-CN"/>
        </w:rPr>
        <w:t>包括项目经理、技术负责人、开发人员、测试人员、售后人员</w:t>
      </w:r>
      <w:r>
        <w:rPr>
          <w:rFonts w:hint="eastAsia"/>
          <w:color w:val="auto"/>
          <w:highlight w:val="none"/>
          <w:lang w:val="en-US" w:eastAsia="zh-CN"/>
        </w:rPr>
        <w:t>各1名</w:t>
      </w:r>
      <w:r>
        <w:rPr>
          <w:rFonts w:hint="default"/>
          <w:color w:val="auto"/>
          <w:highlight w:val="none"/>
          <w:lang w:val="en-US" w:eastAsia="zh-CN"/>
        </w:rPr>
        <w:t>，</w:t>
      </w:r>
      <w:r>
        <w:rPr>
          <w:rFonts w:hint="eastAsia"/>
          <w:color w:val="auto"/>
          <w:highlight w:val="none"/>
          <w:lang w:val="en-US" w:eastAsia="zh-CN"/>
        </w:rPr>
        <w:t>同时须在投标文件中提供</w:t>
      </w:r>
      <w:r>
        <w:rPr>
          <w:rFonts w:hint="default"/>
          <w:color w:val="auto"/>
          <w:highlight w:val="none"/>
          <w:lang w:val="en-US" w:eastAsia="zh-CN"/>
        </w:rPr>
        <w:t>项目经理、技术负责人及主要开发人员的简历、资历证明等复印件</w:t>
      </w:r>
      <w:r>
        <w:rPr>
          <w:rFonts w:hint="eastAsia"/>
          <w:color w:val="auto"/>
          <w:highlight w:val="none"/>
          <w:lang w:val="en-US" w:eastAsia="zh-CN"/>
        </w:rPr>
        <w:t>。</w:t>
      </w:r>
    </w:p>
    <w:p>
      <w:pPr>
        <w:pStyle w:val="54"/>
        <w:numPr>
          <w:numId w:val="0"/>
        </w:numPr>
        <w:ind w:firstLine="480" w:firstLineChars="200"/>
        <w:rPr>
          <w:rFonts w:hint="eastAsia"/>
          <w:color w:val="auto"/>
          <w:highlight w:val="none"/>
          <w:lang w:val="en-US" w:eastAsia="zh-CN"/>
        </w:rPr>
      </w:pPr>
    </w:p>
    <w:p>
      <w:pPr>
        <w:adjustRightInd w:val="0"/>
        <w:snapToGrid w:val="0"/>
        <w:spacing w:line="360" w:lineRule="auto"/>
        <w:rPr>
          <w:rFonts w:hint="eastAsia" w:ascii="宋体" w:hAnsi="宋体"/>
          <w:b/>
          <w:bCs/>
          <w:color w:val="auto"/>
          <w:sz w:val="24"/>
          <w:szCs w:val="24"/>
          <w:highlight w:val="none"/>
        </w:rPr>
      </w:pPr>
      <w:r>
        <w:rPr>
          <w:rFonts w:hint="eastAsia" w:ascii="宋体" w:hAnsi="宋体"/>
          <w:bCs/>
          <w:color w:val="auto"/>
          <w:sz w:val="24"/>
          <w:szCs w:val="24"/>
          <w:highlight w:val="none"/>
          <w:lang w:eastAsia="zh-CN"/>
        </w:rPr>
        <w:t>四</w:t>
      </w:r>
      <w:r>
        <w:rPr>
          <w:rFonts w:hint="eastAsia" w:ascii="宋体" w:hAnsi="宋体"/>
          <w:bCs/>
          <w:color w:val="auto"/>
          <w:sz w:val="24"/>
          <w:szCs w:val="24"/>
          <w:highlight w:val="none"/>
        </w:rPr>
        <w:t>、</w:t>
      </w:r>
      <w:r>
        <w:rPr>
          <w:rFonts w:hint="eastAsia" w:ascii="宋体" w:hAnsi="宋体"/>
          <w:b/>
          <w:bCs/>
          <w:color w:val="auto"/>
          <w:sz w:val="24"/>
          <w:szCs w:val="24"/>
          <w:highlight w:val="none"/>
        </w:rPr>
        <w:t>售后服务要求：</w:t>
      </w:r>
    </w:p>
    <w:p>
      <w:pPr>
        <w:adjustRightInd w:val="0"/>
        <w:snapToGrid w:val="0"/>
        <w:spacing w:line="360" w:lineRule="auto"/>
        <w:rPr>
          <w:rFonts w:hint="eastAsia" w:ascii="宋体" w:hAnsi="宋体"/>
          <w:bCs/>
          <w:color w:val="auto"/>
          <w:sz w:val="24"/>
          <w:szCs w:val="24"/>
          <w:highlight w:val="none"/>
        </w:rPr>
      </w:pPr>
      <w:r>
        <w:rPr>
          <w:rFonts w:hint="eastAsia" w:ascii="宋体" w:hAnsi="宋体"/>
          <w:bCs/>
          <w:color w:val="auto"/>
          <w:sz w:val="24"/>
          <w:szCs w:val="24"/>
          <w:highlight w:val="none"/>
        </w:rPr>
        <w:t xml:space="preserve">    1、质保期要求（或服务期限）：</w:t>
      </w:r>
      <w:r>
        <w:rPr>
          <w:rFonts w:hint="eastAsia" w:ascii="宋体" w:hAnsi="宋体"/>
          <w:bCs/>
          <w:color w:val="auto"/>
          <w:sz w:val="24"/>
          <w:szCs w:val="24"/>
          <w:highlight w:val="none"/>
          <w:lang w:eastAsia="zh-CN"/>
        </w:rPr>
        <w:t>验收合格后</w:t>
      </w:r>
      <w:r>
        <w:rPr>
          <w:rFonts w:hint="eastAsia" w:ascii="宋体" w:hAnsi="宋体"/>
          <w:bCs/>
          <w:color w:val="auto"/>
          <w:sz w:val="24"/>
          <w:szCs w:val="24"/>
          <w:highlight w:val="none"/>
        </w:rPr>
        <w:t>软件质保不少于 3 年，7*24 免费售后技术支持服务（包括版本升级、故障排除、性能调优、技术咨询等，并负责处理、协调与各系统软件、硬件等供应商的关系）。</w:t>
      </w:r>
    </w:p>
    <w:p>
      <w:pPr>
        <w:adjustRightInd w:val="0"/>
        <w:snapToGrid w:val="0"/>
        <w:spacing w:line="360" w:lineRule="auto"/>
        <w:ind w:firstLine="352" w:firstLineChars="147"/>
        <w:rPr>
          <w:rFonts w:hint="eastAsia" w:ascii="宋体" w:hAnsi="宋体"/>
          <w:bCs/>
          <w:color w:val="auto"/>
          <w:sz w:val="24"/>
          <w:szCs w:val="24"/>
          <w:highlight w:val="none"/>
        </w:rPr>
      </w:pPr>
      <w:r>
        <w:rPr>
          <w:rFonts w:hint="eastAsia" w:ascii="宋体" w:hAnsi="宋体"/>
          <w:bCs/>
          <w:color w:val="auto"/>
          <w:sz w:val="24"/>
          <w:szCs w:val="24"/>
          <w:highlight w:val="none"/>
        </w:rPr>
        <w:t xml:space="preserve"> 2、技术支持要求：质保期内出现问题，1小时内响应，2小时内到达现场，4小时内解决问题，现场解决不了的采取应急服务措施。</w:t>
      </w:r>
    </w:p>
    <w:p>
      <w:pPr>
        <w:spacing w:line="400" w:lineRule="exact"/>
        <w:rPr>
          <w:rFonts w:hint="eastAsia" w:ascii="宋体" w:hAnsi="宋体"/>
          <w:bCs/>
          <w:color w:val="auto"/>
          <w:sz w:val="24"/>
          <w:szCs w:val="24"/>
          <w:highlight w:val="none"/>
        </w:rPr>
      </w:pPr>
      <w:r>
        <w:rPr>
          <w:rFonts w:hint="eastAsia" w:ascii="宋体" w:hAnsi="宋体"/>
          <w:bCs/>
          <w:color w:val="auto"/>
          <w:sz w:val="24"/>
          <w:szCs w:val="24"/>
          <w:highlight w:val="none"/>
        </w:rPr>
        <w:t xml:space="preserve">    3、其他：中标单位需</w:t>
      </w:r>
      <w:r>
        <w:rPr>
          <w:rFonts w:hint="eastAsia" w:ascii="宋体" w:hAnsi="宋体"/>
          <w:bCs/>
          <w:color w:val="auto"/>
          <w:sz w:val="24"/>
          <w:szCs w:val="24"/>
          <w:highlight w:val="none"/>
          <w:lang w:eastAsia="zh-CN"/>
        </w:rPr>
        <w:t>从项目试运行开始</w:t>
      </w:r>
      <w:r>
        <w:rPr>
          <w:rFonts w:hint="eastAsia" w:ascii="宋体" w:hAnsi="宋体"/>
          <w:bCs/>
          <w:color w:val="auto"/>
          <w:sz w:val="24"/>
          <w:szCs w:val="24"/>
          <w:highlight w:val="none"/>
        </w:rPr>
        <w:t>提供至少一年的驻场维护服务，维护内容包含系统试运行期间的驻场调试、企业入库审核以及日常的系统更新、维护等。</w:t>
      </w:r>
      <w:r>
        <w:rPr>
          <w:rFonts w:hint="eastAsia" w:ascii="宋体" w:hAnsi="宋体"/>
          <w:bCs/>
          <w:color w:val="auto"/>
          <w:sz w:val="24"/>
          <w:szCs w:val="24"/>
          <w:highlight w:val="none"/>
          <w:lang w:eastAsia="zh-CN"/>
        </w:rPr>
        <w:t>期间须准守市民之家工作制度及规章要求。</w:t>
      </w:r>
    </w:p>
    <w:p>
      <w:pPr>
        <w:adjustRightInd w:val="0"/>
        <w:snapToGrid w:val="0"/>
        <w:spacing w:line="360" w:lineRule="auto"/>
        <w:ind w:firstLine="352" w:firstLineChars="147"/>
        <w:rPr>
          <w:rFonts w:hint="eastAsia" w:ascii="宋体" w:hAnsi="宋体"/>
          <w:bCs/>
          <w:color w:val="auto"/>
          <w:sz w:val="24"/>
          <w:szCs w:val="24"/>
          <w:highlight w:val="none"/>
        </w:rPr>
      </w:pPr>
    </w:p>
    <w:p>
      <w:pPr>
        <w:adjustRightInd w:val="0"/>
        <w:snapToGrid w:val="0"/>
        <w:spacing w:line="360" w:lineRule="auto"/>
        <w:rPr>
          <w:rFonts w:hint="eastAsia" w:ascii="宋体" w:hAnsi="宋体"/>
          <w:b/>
          <w:bCs/>
          <w:color w:val="auto"/>
          <w:sz w:val="24"/>
          <w:szCs w:val="24"/>
          <w:highlight w:val="none"/>
        </w:rPr>
      </w:pPr>
      <w:r>
        <w:rPr>
          <w:rFonts w:hint="eastAsia" w:ascii="宋体" w:hAnsi="宋体"/>
          <w:b/>
          <w:bCs/>
          <w:color w:val="auto"/>
          <w:sz w:val="24"/>
          <w:szCs w:val="24"/>
          <w:highlight w:val="none"/>
          <w:lang w:eastAsia="zh-CN"/>
        </w:rPr>
        <w:t>五</w:t>
      </w:r>
      <w:r>
        <w:rPr>
          <w:rFonts w:hint="eastAsia" w:ascii="宋体" w:hAnsi="宋体"/>
          <w:b/>
          <w:bCs/>
          <w:color w:val="auto"/>
          <w:sz w:val="24"/>
          <w:szCs w:val="24"/>
          <w:highlight w:val="none"/>
        </w:rPr>
        <w:t>、培训要求：</w:t>
      </w:r>
    </w:p>
    <w:p>
      <w:pPr>
        <w:adjustRightInd w:val="0"/>
        <w:snapToGrid w:val="0"/>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1、中标单位必须为采购人提供系统使用、系统操作和管理维护培训，培训形式包括现场操作培训、上机操作培训、理论基础知识培训等。</w:t>
      </w:r>
    </w:p>
    <w:p>
      <w:pPr>
        <w:adjustRightInd w:val="0"/>
        <w:snapToGrid w:val="0"/>
        <w:spacing w:line="360" w:lineRule="auto"/>
        <w:rPr>
          <w:rFonts w:hint="eastAsia" w:ascii="宋体" w:hAnsi="宋体"/>
          <w:bCs/>
          <w:color w:val="auto"/>
          <w:sz w:val="24"/>
          <w:szCs w:val="24"/>
          <w:highlight w:val="none"/>
        </w:rPr>
      </w:pPr>
      <w:r>
        <w:rPr>
          <w:rFonts w:hint="eastAsia" w:ascii="宋体" w:hAnsi="宋体"/>
          <w:bCs/>
          <w:color w:val="auto"/>
          <w:sz w:val="24"/>
          <w:szCs w:val="24"/>
          <w:highlight w:val="none"/>
        </w:rPr>
        <w:t xml:space="preserve">    2、投标单位应在投标文件中提供详细的培训计划，包括培训项目、人数、地点、日程、资料、其它等详细内容，为所有被培训人员提供培训用文字资料和讲义等相关用品。培训时要保证质量和效果，及时解答培训学员提出的问题。</w:t>
      </w:r>
    </w:p>
    <w:p>
      <w:pPr>
        <w:adjustRightInd w:val="0"/>
        <w:snapToGrid w:val="0"/>
        <w:spacing w:line="360" w:lineRule="auto"/>
        <w:rPr>
          <w:rFonts w:hint="eastAsia" w:ascii="宋体" w:hAnsi="宋体"/>
          <w:bCs/>
          <w:color w:val="auto"/>
          <w:sz w:val="24"/>
          <w:szCs w:val="24"/>
          <w:highlight w:val="none"/>
        </w:rPr>
      </w:pPr>
      <w:r>
        <w:rPr>
          <w:rFonts w:hint="eastAsia" w:ascii="宋体" w:hAnsi="宋体"/>
          <w:bCs/>
          <w:color w:val="auto"/>
          <w:sz w:val="24"/>
          <w:szCs w:val="24"/>
          <w:highlight w:val="none"/>
        </w:rPr>
        <w:t xml:space="preserve">    3、培训目的：达到使全区小额各方从业主体在培训后能够独立地使用和操作系统，使管理方系统管理人员能够独立进行系统管理。</w:t>
      </w:r>
    </w:p>
    <w:p>
      <w:pPr>
        <w:adjustRightInd w:val="0"/>
        <w:snapToGrid w:val="0"/>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4、中标单位培训人员必须是公司的资深工程师或项目经理以上人员，保证提供有参与系统开发和丰富授课经验。</w:t>
      </w:r>
    </w:p>
    <w:p>
      <w:pPr>
        <w:adjustRightInd w:val="0"/>
        <w:snapToGrid w:val="0"/>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5、培训地点及次数：根据采购单位要求安排培训地点及相应场次。</w:t>
      </w:r>
    </w:p>
    <w:p>
      <w:pPr>
        <w:adjustRightInd w:val="0"/>
        <w:snapToGrid w:val="0"/>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6、应准备培训教材和培训资料的电子材料和纸质材料。</w:t>
      </w:r>
    </w:p>
    <w:p>
      <w:pPr>
        <w:adjustRightInd w:val="0"/>
        <w:snapToGrid w:val="0"/>
        <w:spacing w:line="360" w:lineRule="auto"/>
        <w:rPr>
          <w:rFonts w:hint="eastAsia" w:ascii="宋体" w:hAnsi="宋体"/>
          <w:b/>
          <w:bCs/>
          <w:color w:val="auto"/>
          <w:sz w:val="24"/>
          <w:szCs w:val="24"/>
          <w:highlight w:val="none"/>
        </w:rPr>
      </w:pPr>
    </w:p>
    <w:p>
      <w:pPr>
        <w:adjustRightInd w:val="0"/>
        <w:snapToGrid w:val="0"/>
        <w:spacing w:line="360" w:lineRule="auto"/>
        <w:rPr>
          <w:rFonts w:hint="eastAsia" w:ascii="宋体" w:hAnsi="宋体"/>
          <w:bCs/>
          <w:color w:val="auto"/>
          <w:sz w:val="24"/>
          <w:szCs w:val="24"/>
          <w:highlight w:val="none"/>
        </w:rPr>
      </w:pPr>
      <w:r>
        <w:rPr>
          <w:rFonts w:hint="eastAsia" w:ascii="宋体" w:hAnsi="宋体"/>
          <w:b/>
          <w:bCs/>
          <w:color w:val="auto"/>
          <w:sz w:val="24"/>
          <w:szCs w:val="24"/>
          <w:highlight w:val="none"/>
          <w:lang w:eastAsia="zh-CN"/>
        </w:rPr>
        <w:t>六</w:t>
      </w:r>
      <w:r>
        <w:rPr>
          <w:rFonts w:hint="eastAsia" w:ascii="宋体" w:hAnsi="宋体"/>
          <w:b/>
          <w:bCs/>
          <w:color w:val="auto"/>
          <w:sz w:val="24"/>
          <w:szCs w:val="24"/>
          <w:highlight w:val="none"/>
        </w:rPr>
        <w:t>、工期要求：</w:t>
      </w:r>
      <w:r>
        <w:rPr>
          <w:rFonts w:hint="eastAsia" w:ascii="宋体" w:hAnsi="宋体"/>
          <w:bCs/>
          <w:color w:val="auto"/>
          <w:sz w:val="24"/>
          <w:szCs w:val="24"/>
          <w:highlight w:val="none"/>
        </w:rPr>
        <w:t>合同签订后60个日历天内开发完成，并在开发完成后15个日历天内上线试运行。</w:t>
      </w:r>
    </w:p>
    <w:p>
      <w:pPr>
        <w:adjustRightInd w:val="0"/>
        <w:snapToGrid w:val="0"/>
        <w:spacing w:line="360" w:lineRule="auto"/>
        <w:rPr>
          <w:rFonts w:hint="eastAsia" w:ascii="宋体" w:hAnsi="宋体"/>
          <w:bCs/>
          <w:color w:val="auto"/>
          <w:sz w:val="24"/>
          <w:szCs w:val="24"/>
          <w:highlight w:val="none"/>
        </w:rPr>
      </w:pPr>
      <w:r>
        <w:rPr>
          <w:rFonts w:hint="eastAsia" w:ascii="宋体" w:hAnsi="宋体"/>
          <w:b/>
          <w:bCs/>
          <w:color w:val="auto"/>
          <w:sz w:val="24"/>
          <w:szCs w:val="24"/>
          <w:highlight w:val="none"/>
          <w:lang w:eastAsia="zh-CN"/>
        </w:rPr>
        <w:t>七</w:t>
      </w:r>
      <w:r>
        <w:rPr>
          <w:rFonts w:hint="eastAsia" w:ascii="宋体" w:hAnsi="宋体"/>
          <w:b/>
          <w:bCs/>
          <w:color w:val="auto"/>
          <w:sz w:val="24"/>
          <w:szCs w:val="24"/>
          <w:highlight w:val="none"/>
        </w:rPr>
        <w:t>、验收要求：</w:t>
      </w:r>
      <w:r>
        <w:rPr>
          <w:rFonts w:hint="eastAsia" w:ascii="宋体" w:hAnsi="宋体"/>
          <w:bCs/>
          <w:color w:val="auto"/>
          <w:sz w:val="24"/>
          <w:szCs w:val="24"/>
          <w:highlight w:val="none"/>
        </w:rPr>
        <w:t>采购人根据相关规定组织验收。</w:t>
      </w:r>
    </w:p>
    <w:p>
      <w:pPr>
        <w:adjustRightInd w:val="0"/>
        <w:snapToGrid w:val="0"/>
        <w:spacing w:line="360" w:lineRule="auto"/>
        <w:rPr>
          <w:rFonts w:hint="eastAsia" w:ascii="宋体" w:hAnsi="宋体"/>
          <w:b/>
          <w:bCs/>
          <w:color w:val="auto"/>
          <w:sz w:val="24"/>
          <w:szCs w:val="24"/>
          <w:highlight w:val="none"/>
        </w:rPr>
      </w:pPr>
      <w:r>
        <w:rPr>
          <w:rFonts w:hint="eastAsia" w:ascii="宋体" w:hAnsi="宋体"/>
          <w:b/>
          <w:bCs/>
          <w:color w:val="auto"/>
          <w:sz w:val="24"/>
          <w:szCs w:val="24"/>
          <w:highlight w:val="none"/>
          <w:lang w:eastAsia="zh-CN"/>
        </w:rPr>
        <w:t>八</w:t>
      </w:r>
      <w:r>
        <w:rPr>
          <w:rFonts w:hint="eastAsia" w:ascii="宋体" w:hAnsi="宋体"/>
          <w:b/>
          <w:bCs/>
          <w:color w:val="auto"/>
          <w:sz w:val="24"/>
          <w:szCs w:val="24"/>
          <w:highlight w:val="none"/>
        </w:rPr>
        <w:t>、履约保证金和质量保证金：</w:t>
      </w:r>
    </w:p>
    <w:p>
      <w:pPr>
        <w:adjustRightInd w:val="0"/>
        <w:snapToGrid w:val="0"/>
        <w:spacing w:line="360" w:lineRule="auto"/>
        <w:ind w:firstLine="352" w:firstLineChars="147"/>
        <w:rPr>
          <w:rFonts w:hint="eastAsia" w:ascii="宋体" w:hAnsi="宋体"/>
          <w:bCs/>
          <w:color w:val="auto"/>
          <w:sz w:val="24"/>
          <w:szCs w:val="24"/>
          <w:highlight w:val="none"/>
        </w:rPr>
      </w:pPr>
      <w:r>
        <w:rPr>
          <w:rFonts w:hint="eastAsia" w:ascii="宋体" w:hAnsi="宋体"/>
          <w:bCs/>
          <w:color w:val="auto"/>
          <w:sz w:val="24"/>
          <w:szCs w:val="24"/>
          <w:highlight w:val="none"/>
        </w:rPr>
        <w:t>在合同签订以后7个工作日内，供应商应向采购人缴纳中标总额5%的履约保证金，验收合格后履约保证金自动转为质量保证金，在无质量问题的情况下，质量保证金将在质保期满后无息退还。</w:t>
      </w:r>
    </w:p>
    <w:p>
      <w:pPr>
        <w:adjustRightInd w:val="0"/>
        <w:snapToGrid w:val="0"/>
        <w:spacing w:line="360" w:lineRule="auto"/>
        <w:rPr>
          <w:rFonts w:hint="eastAsia" w:ascii="宋体" w:hAnsi="宋体"/>
          <w:bCs/>
          <w:color w:val="auto"/>
          <w:sz w:val="24"/>
          <w:szCs w:val="24"/>
          <w:highlight w:val="none"/>
        </w:rPr>
      </w:pPr>
      <w:r>
        <w:rPr>
          <w:rFonts w:hint="eastAsia" w:ascii="宋体" w:hAnsi="宋体"/>
          <w:b/>
          <w:bCs/>
          <w:color w:val="auto"/>
          <w:sz w:val="24"/>
          <w:szCs w:val="24"/>
          <w:highlight w:val="none"/>
          <w:lang w:eastAsia="zh-CN"/>
        </w:rPr>
        <w:t>九</w:t>
      </w:r>
      <w:r>
        <w:rPr>
          <w:rFonts w:hint="eastAsia" w:ascii="宋体" w:hAnsi="宋体"/>
          <w:b/>
          <w:bCs/>
          <w:color w:val="auto"/>
          <w:sz w:val="24"/>
          <w:szCs w:val="24"/>
          <w:highlight w:val="none"/>
        </w:rPr>
        <w:t>、费用支付：</w:t>
      </w:r>
      <w:r>
        <w:rPr>
          <w:rFonts w:hint="eastAsia" w:ascii="宋体" w:hAnsi="宋体" w:cs="宋体"/>
          <w:color w:val="auto"/>
          <w:sz w:val="24"/>
          <w:szCs w:val="24"/>
          <w:highlight w:val="none"/>
        </w:rPr>
        <w:t>系统开发、调试完毕，上线试运行后经验收合格后</w:t>
      </w:r>
      <w:r>
        <w:rPr>
          <w:rFonts w:hint="eastAsia" w:ascii="宋体" w:hAnsi="宋体" w:cs="宋体"/>
          <w:color w:val="auto"/>
          <w:sz w:val="24"/>
          <w:szCs w:val="24"/>
          <w:highlight w:val="none"/>
          <w:lang w:val="en-US" w:eastAsia="zh-CN"/>
        </w:rPr>
        <w:t>30</w:t>
      </w:r>
      <w:r>
        <w:rPr>
          <w:rFonts w:hint="eastAsia" w:ascii="宋体" w:hAnsi="宋体" w:cs="宋体"/>
          <w:color w:val="auto"/>
          <w:sz w:val="24"/>
          <w:szCs w:val="24"/>
          <w:highlight w:val="none"/>
        </w:rPr>
        <w:t>个工作日内</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一次性</w:t>
      </w:r>
      <w:r>
        <w:rPr>
          <w:rFonts w:hint="eastAsia" w:ascii="宋体" w:hAnsi="宋体"/>
          <w:color w:val="auto"/>
          <w:sz w:val="24"/>
          <w:szCs w:val="24"/>
          <w:highlight w:val="none"/>
        </w:rPr>
        <w:t>支付</w:t>
      </w: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0%。</w:t>
      </w:r>
    </w:p>
    <w:p>
      <w:pPr>
        <w:pStyle w:val="40"/>
        <w:jc w:val="left"/>
        <w:rPr>
          <w:rFonts w:ascii="宋体" w:hAnsi="宋体" w:eastAsia="宋体"/>
          <w:color w:val="auto"/>
          <w:highlight w:val="none"/>
        </w:rPr>
      </w:pPr>
      <w:r>
        <w:rPr>
          <w:rFonts w:ascii="宋体" w:hAnsi="宋体" w:eastAsia="宋体"/>
          <w:color w:val="auto"/>
          <w:highlight w:val="none"/>
        </w:rPr>
        <w:br w:type="page"/>
      </w:r>
      <w:bookmarkStart w:id="8" w:name="_Toc5262"/>
      <w:r>
        <w:rPr>
          <w:rFonts w:hint="eastAsia" w:ascii="宋体" w:hAnsi="宋体" w:eastAsia="宋体"/>
          <w:color w:val="auto"/>
          <w:highlight w:val="none"/>
          <w:lang w:val="en-US" w:eastAsia="zh-CN"/>
        </w:rPr>
        <w:t xml:space="preserve">            </w:t>
      </w:r>
      <w:r>
        <w:rPr>
          <w:rFonts w:hint="eastAsia" w:ascii="宋体" w:hAnsi="宋体" w:eastAsia="宋体"/>
          <w:color w:val="auto"/>
          <w:highlight w:val="none"/>
        </w:rPr>
        <w:t>第四部分 合同样本</w:t>
      </w:r>
      <w:bookmarkEnd w:id="7"/>
      <w:bookmarkEnd w:id="8"/>
    </w:p>
    <w:p>
      <w:pPr>
        <w:pStyle w:val="12"/>
        <w:wordWrap w:val="0"/>
        <w:snapToGrid w:val="0"/>
        <w:spacing w:line="360" w:lineRule="auto"/>
        <w:jc w:val="right"/>
        <w:rPr>
          <w:rFonts w:hint="eastAsia" w:hAnsi="宋体"/>
          <w:b/>
          <w:color w:val="auto"/>
          <w:sz w:val="28"/>
          <w:szCs w:val="28"/>
          <w:highlight w:val="none"/>
        </w:rPr>
      </w:pPr>
      <w:r>
        <w:rPr>
          <w:rFonts w:hint="eastAsia" w:hAnsi="宋体"/>
          <w:color w:val="auto"/>
          <w:sz w:val="24"/>
          <w:szCs w:val="24"/>
          <w:highlight w:val="none"/>
        </w:rPr>
        <w:t xml:space="preserve">合同编号：            </w:t>
      </w:r>
    </w:p>
    <w:p>
      <w:pPr>
        <w:pStyle w:val="12"/>
        <w:snapToGrid w:val="0"/>
        <w:spacing w:line="360" w:lineRule="auto"/>
        <w:rPr>
          <w:rFonts w:hint="eastAsia" w:hAnsi="宋体"/>
          <w:color w:val="auto"/>
          <w:sz w:val="24"/>
          <w:szCs w:val="24"/>
          <w:highlight w:val="none"/>
        </w:rPr>
      </w:pPr>
      <w:r>
        <w:rPr>
          <w:rFonts w:hint="eastAsia" w:hAnsi="宋体"/>
          <w:color w:val="auto"/>
          <w:sz w:val="24"/>
          <w:szCs w:val="24"/>
          <w:highlight w:val="none"/>
        </w:rPr>
        <w:t>甲方（买方）：</w:t>
      </w:r>
      <w:r>
        <w:rPr>
          <w:rFonts w:hint="eastAsia" w:hAnsi="宋体"/>
          <w:color w:val="auto"/>
          <w:sz w:val="24"/>
          <w:szCs w:val="24"/>
          <w:highlight w:val="none"/>
          <w:lang w:eastAsia="zh-CN"/>
        </w:rPr>
        <w:t>杭州市余杭区行政服务中心</w:t>
      </w:r>
    </w:p>
    <w:p>
      <w:pPr>
        <w:pStyle w:val="12"/>
        <w:snapToGrid w:val="0"/>
        <w:spacing w:line="360" w:lineRule="auto"/>
        <w:rPr>
          <w:rFonts w:hint="eastAsia" w:hAnsi="宋体"/>
          <w:color w:val="auto"/>
          <w:sz w:val="24"/>
          <w:szCs w:val="24"/>
          <w:highlight w:val="none"/>
        </w:rPr>
      </w:pPr>
      <w:r>
        <w:rPr>
          <w:rFonts w:hint="eastAsia" w:hAnsi="宋体"/>
          <w:color w:val="auto"/>
          <w:sz w:val="24"/>
          <w:szCs w:val="24"/>
          <w:highlight w:val="none"/>
        </w:rPr>
        <w:t>乙方（卖方）：</w:t>
      </w:r>
    </w:p>
    <w:p>
      <w:pPr>
        <w:pStyle w:val="12"/>
        <w:snapToGrid w:val="0"/>
        <w:spacing w:line="360" w:lineRule="auto"/>
        <w:rPr>
          <w:rFonts w:hint="eastAsia" w:ascii="宋体" w:hAnsi="宋体"/>
          <w:color w:val="auto"/>
          <w:kern w:val="0"/>
          <w:sz w:val="24"/>
          <w:highlight w:val="none"/>
        </w:rPr>
      </w:pPr>
      <w:r>
        <w:rPr>
          <w:rFonts w:hint="eastAsia" w:hAnsi="宋体"/>
          <w:b/>
          <w:color w:val="auto"/>
          <w:sz w:val="24"/>
          <w:szCs w:val="24"/>
          <w:highlight w:val="none"/>
        </w:rPr>
        <w:t xml:space="preserve">  </w:t>
      </w:r>
      <w:r>
        <w:rPr>
          <w:rFonts w:hint="eastAsia" w:ascii="宋体" w:hAnsi="宋体"/>
          <w:color w:val="auto"/>
          <w:sz w:val="24"/>
          <w:highlight w:val="none"/>
        </w:rPr>
        <w:t xml:space="preserve"> 甲、乙双方基于</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项目（项目编号：HZYHZFCG-20  -    ）的采购结果，根据《中国人民共和国合同法》等有关法律法规，经友好协商，在平等自愿的基础上签署本合同。  </w:t>
      </w:r>
    </w:p>
    <w:p>
      <w:pPr>
        <w:spacing w:line="360" w:lineRule="auto"/>
        <w:rPr>
          <w:rFonts w:hint="eastAsia" w:ascii="宋体" w:hAnsi="宋体"/>
          <w:b/>
          <w:bCs/>
          <w:color w:val="auto"/>
          <w:sz w:val="24"/>
          <w:highlight w:val="none"/>
        </w:rPr>
      </w:pPr>
      <w:r>
        <w:rPr>
          <w:rFonts w:hint="eastAsia" w:ascii="宋体" w:hAnsi="宋体"/>
          <w:b/>
          <w:bCs/>
          <w:color w:val="auto"/>
          <w:sz w:val="24"/>
          <w:highlight w:val="none"/>
        </w:rPr>
        <w:t>第一条：服务内容</w:t>
      </w:r>
    </w:p>
    <w:p>
      <w:pPr>
        <w:spacing w:line="360" w:lineRule="auto"/>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u w:val="single"/>
        </w:rPr>
        <w:t xml:space="preserve">            </w:t>
      </w:r>
    </w:p>
    <w:p>
      <w:pPr>
        <w:spacing w:line="360" w:lineRule="auto"/>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u w:val="single"/>
        </w:rPr>
        <w:t xml:space="preserve">            </w:t>
      </w:r>
    </w:p>
    <w:p>
      <w:pPr>
        <w:numPr>
          <w:ilvl w:val="0"/>
          <w:numId w:val="4"/>
        </w:numPr>
        <w:spacing w:line="360" w:lineRule="auto"/>
        <w:rPr>
          <w:rFonts w:hint="eastAsia" w:ascii="宋体" w:hAnsi="宋体"/>
          <w:b/>
          <w:bCs/>
          <w:color w:val="auto"/>
          <w:sz w:val="24"/>
          <w:highlight w:val="none"/>
        </w:rPr>
      </w:pPr>
      <w:r>
        <w:rPr>
          <w:rFonts w:hint="eastAsia" w:ascii="宋体" w:hAnsi="宋体"/>
          <w:b/>
          <w:bCs/>
          <w:color w:val="auto"/>
          <w:sz w:val="24"/>
          <w:highlight w:val="none"/>
        </w:rPr>
        <w:t>：服务期限</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自20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日至20</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年 </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日（或者自合同生效之日起</w:t>
      </w:r>
      <w:r>
        <w:rPr>
          <w:rFonts w:hint="eastAsia" w:ascii="宋体" w:hAnsi="宋体"/>
          <w:color w:val="auto"/>
          <w:sz w:val="24"/>
          <w:highlight w:val="none"/>
          <w:u w:val="single"/>
        </w:rPr>
        <w:t xml:space="preserve">    </w:t>
      </w:r>
      <w:r>
        <w:rPr>
          <w:rFonts w:hint="eastAsia" w:ascii="宋体" w:hAnsi="宋体"/>
          <w:color w:val="auto"/>
          <w:sz w:val="24"/>
          <w:highlight w:val="none"/>
        </w:rPr>
        <w:t>年）。</w:t>
      </w:r>
    </w:p>
    <w:p>
      <w:pPr>
        <w:numPr>
          <w:ilvl w:val="0"/>
          <w:numId w:val="4"/>
        </w:numPr>
        <w:spacing w:line="360" w:lineRule="auto"/>
        <w:rPr>
          <w:rFonts w:hint="eastAsia" w:ascii="宋体" w:hAnsi="宋体"/>
          <w:b/>
          <w:bCs/>
          <w:color w:val="auto"/>
          <w:sz w:val="24"/>
          <w:highlight w:val="none"/>
        </w:rPr>
      </w:pPr>
      <w:r>
        <w:rPr>
          <w:rFonts w:hint="eastAsia" w:ascii="宋体" w:hAnsi="宋体"/>
          <w:b/>
          <w:bCs/>
          <w:color w:val="auto"/>
          <w:sz w:val="24"/>
          <w:highlight w:val="none"/>
        </w:rPr>
        <w:t>：服务费用及支付方式</w:t>
      </w:r>
    </w:p>
    <w:p>
      <w:pPr>
        <w:spacing w:line="360" w:lineRule="auto"/>
        <w:rPr>
          <w:rFonts w:hint="eastAsia" w:ascii="宋体" w:hAnsi="宋体"/>
          <w:b/>
          <w:bCs/>
          <w:color w:val="auto"/>
          <w:sz w:val="24"/>
          <w:highlight w:val="none"/>
        </w:rPr>
      </w:pPr>
      <w:r>
        <w:rPr>
          <w:rFonts w:hint="eastAsia" w:ascii="宋体" w:hAnsi="宋体"/>
          <w:color w:val="auto"/>
          <w:sz w:val="24"/>
          <w:highlight w:val="none"/>
        </w:rPr>
        <w:t>1、本项目合同金额为人民币</w:t>
      </w:r>
      <w:r>
        <w:rPr>
          <w:rFonts w:hint="eastAsia" w:ascii="宋体" w:hAnsi="宋体"/>
          <w:color w:val="auto"/>
          <w:sz w:val="24"/>
          <w:highlight w:val="none"/>
          <w:u w:val="single"/>
        </w:rPr>
        <w:t xml:space="preserve">            </w:t>
      </w:r>
      <w:r>
        <w:rPr>
          <w:rFonts w:hint="eastAsia" w:ascii="宋体" w:hAnsi="宋体"/>
          <w:color w:val="auto"/>
          <w:sz w:val="24"/>
          <w:highlight w:val="none"/>
        </w:rPr>
        <w:t>整（￥</w:t>
      </w:r>
      <w:r>
        <w:rPr>
          <w:rFonts w:hint="eastAsia" w:ascii="宋体" w:hAnsi="宋体"/>
          <w:color w:val="auto"/>
          <w:sz w:val="24"/>
          <w:highlight w:val="none"/>
          <w:u w:val="single"/>
        </w:rPr>
        <w:t xml:space="preserve">        </w:t>
      </w:r>
      <w:r>
        <w:rPr>
          <w:rFonts w:hint="eastAsia" w:ascii="宋体" w:hAnsi="宋体"/>
          <w:color w:val="auto"/>
          <w:sz w:val="24"/>
          <w:highlight w:val="none"/>
        </w:rPr>
        <w:t>元）。</w:t>
      </w:r>
      <w:r>
        <w:rPr>
          <w:rFonts w:hint="eastAsia" w:ascii="宋体" w:hAnsi="宋体"/>
          <w:color w:val="auto"/>
          <w:sz w:val="24"/>
          <w:highlight w:val="none"/>
        </w:rPr>
        <w:br/>
      </w:r>
      <w:r>
        <w:rPr>
          <w:rFonts w:hint="eastAsia" w:ascii="宋体" w:hAnsi="宋体"/>
          <w:color w:val="auto"/>
          <w:sz w:val="24"/>
          <w:highlight w:val="none"/>
        </w:rPr>
        <w:t>2、支付方式为</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numPr>
          <w:ilvl w:val="0"/>
          <w:numId w:val="4"/>
        </w:numPr>
        <w:spacing w:line="360" w:lineRule="auto"/>
        <w:rPr>
          <w:rFonts w:hint="eastAsia" w:ascii="宋体" w:hAnsi="宋体"/>
          <w:b/>
          <w:bCs/>
          <w:color w:val="auto"/>
          <w:sz w:val="24"/>
          <w:highlight w:val="none"/>
        </w:rPr>
      </w:pPr>
      <w:r>
        <w:rPr>
          <w:rFonts w:hint="eastAsia" w:ascii="宋体" w:hAnsi="宋体"/>
          <w:b/>
          <w:bCs/>
          <w:color w:val="auto"/>
          <w:sz w:val="24"/>
          <w:highlight w:val="none"/>
        </w:rPr>
        <w:t>：保证金条款</w:t>
      </w:r>
    </w:p>
    <w:p>
      <w:pPr>
        <w:spacing w:line="360" w:lineRule="auto"/>
        <w:rPr>
          <w:rFonts w:hint="eastAsia" w:ascii="宋体" w:hAnsi="宋体"/>
          <w:color w:val="auto"/>
          <w:sz w:val="24"/>
          <w:highlight w:val="none"/>
        </w:rPr>
      </w:pPr>
      <w:r>
        <w:rPr>
          <w:rFonts w:hint="eastAsia" w:ascii="宋体" w:hAnsi="宋体"/>
          <w:color w:val="auto"/>
          <w:sz w:val="24"/>
          <w:highlight w:val="none"/>
        </w:rPr>
        <w:t>1、签订合同后</w:t>
      </w:r>
      <w:r>
        <w:rPr>
          <w:rFonts w:hint="eastAsia" w:ascii="宋体" w:hAnsi="宋体"/>
          <w:color w:val="auto"/>
          <w:sz w:val="24"/>
          <w:highlight w:val="none"/>
          <w:u w:val="single"/>
        </w:rPr>
        <w:t xml:space="preserve">    </w:t>
      </w:r>
      <w:r>
        <w:rPr>
          <w:rFonts w:hint="eastAsia" w:ascii="宋体" w:hAnsi="宋体"/>
          <w:color w:val="auto"/>
          <w:sz w:val="24"/>
          <w:highlight w:val="none"/>
        </w:rPr>
        <w:t>个工作日内，乙方须向甲方交纳相当于合同总额</w:t>
      </w:r>
      <w:r>
        <w:rPr>
          <w:rFonts w:hint="eastAsia" w:ascii="宋体" w:hAnsi="宋体"/>
          <w:color w:val="auto"/>
          <w:sz w:val="24"/>
          <w:highlight w:val="none"/>
          <w:u w:val="single"/>
        </w:rPr>
        <w:t xml:space="preserve">    </w:t>
      </w:r>
      <w:r>
        <w:rPr>
          <w:rFonts w:hint="eastAsia" w:ascii="宋体" w:hAnsi="宋体"/>
          <w:color w:val="auto"/>
          <w:sz w:val="24"/>
          <w:highlight w:val="none"/>
        </w:rPr>
        <w:t>%的履约保证金。以保证乙方遵守本合同的一切条款、条件和承诺，该保证金在甲方的规定存续期间不计息。</w:t>
      </w:r>
    </w:p>
    <w:p>
      <w:pPr>
        <w:spacing w:line="360" w:lineRule="auto"/>
        <w:rPr>
          <w:rFonts w:hint="eastAsia" w:ascii="宋体" w:hAnsi="宋体"/>
          <w:color w:val="auto"/>
          <w:sz w:val="24"/>
          <w:highlight w:val="none"/>
        </w:rPr>
      </w:pPr>
      <w:r>
        <w:rPr>
          <w:rFonts w:hint="eastAsia" w:ascii="宋体" w:hAnsi="宋体"/>
          <w:color w:val="auto"/>
          <w:sz w:val="24"/>
          <w:highlight w:val="none"/>
        </w:rPr>
        <w:t>2、甲方有权从履约保证金中扣除用于</w:t>
      </w:r>
      <w:r>
        <w:rPr>
          <w:rFonts w:hint="eastAsia" w:ascii="宋体" w:hAnsi="宋体"/>
          <w:color w:val="auto"/>
          <w:sz w:val="24"/>
          <w:highlight w:val="none"/>
          <w:u w:val="single"/>
        </w:rPr>
        <w:t xml:space="preserve">         </w:t>
      </w:r>
      <w:r>
        <w:rPr>
          <w:rFonts w:hint="eastAsia" w:ascii="宋体" w:hAnsi="宋体"/>
          <w:color w:val="auto"/>
          <w:sz w:val="24"/>
          <w:highlight w:val="none"/>
        </w:rPr>
        <w:t>或因乙方违约而导致损失的金额和违约金，</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spacing w:line="360" w:lineRule="auto"/>
        <w:rPr>
          <w:rFonts w:hint="eastAsia" w:ascii="宋体" w:hAnsi="宋体"/>
          <w:color w:val="auto"/>
          <w:sz w:val="24"/>
          <w:highlight w:val="none"/>
        </w:rPr>
      </w:pPr>
      <w:r>
        <w:rPr>
          <w:rFonts w:hint="eastAsia" w:ascii="宋体" w:hAnsi="宋体"/>
          <w:color w:val="auto"/>
          <w:sz w:val="24"/>
          <w:highlight w:val="none"/>
        </w:rPr>
        <w:t>3、甲方认为乙方在服务期内没有涉及甲方的应付而未付金额或违约行为，甲方在服务期满后（或提前终止承包后一个月内）全额退还履约保证金，否则，甲方将在扣除乙方应付金额或违约金后退还保证金余额。</w:t>
      </w:r>
    </w:p>
    <w:p>
      <w:pPr>
        <w:numPr>
          <w:ilvl w:val="0"/>
          <w:numId w:val="4"/>
        </w:numPr>
        <w:spacing w:line="360" w:lineRule="auto"/>
        <w:rPr>
          <w:rFonts w:hint="eastAsia" w:ascii="宋体" w:hAnsi="宋体"/>
          <w:b/>
          <w:bCs/>
          <w:color w:val="auto"/>
          <w:sz w:val="24"/>
          <w:highlight w:val="none"/>
        </w:rPr>
      </w:pPr>
      <w:r>
        <w:rPr>
          <w:rFonts w:hint="eastAsia" w:ascii="宋体" w:hAnsi="宋体"/>
          <w:b/>
          <w:bCs/>
          <w:color w:val="auto"/>
          <w:sz w:val="24"/>
          <w:highlight w:val="none"/>
        </w:rPr>
        <w:t>：甲方的权利和义务</w:t>
      </w:r>
    </w:p>
    <w:p>
      <w:pPr>
        <w:spacing w:line="360" w:lineRule="auto"/>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u w:val="single"/>
        </w:rPr>
        <w:t xml:space="preserve">            </w:t>
      </w:r>
    </w:p>
    <w:p>
      <w:pPr>
        <w:spacing w:line="360" w:lineRule="auto"/>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u w:val="single"/>
        </w:rPr>
        <w:t xml:space="preserve">            </w:t>
      </w:r>
    </w:p>
    <w:p>
      <w:pPr>
        <w:numPr>
          <w:ilvl w:val="0"/>
          <w:numId w:val="4"/>
        </w:numPr>
        <w:spacing w:line="360" w:lineRule="auto"/>
        <w:rPr>
          <w:rFonts w:hint="eastAsia" w:ascii="宋体" w:hAnsi="宋体"/>
          <w:b/>
          <w:bCs/>
          <w:color w:val="auto"/>
          <w:sz w:val="24"/>
          <w:highlight w:val="none"/>
        </w:rPr>
      </w:pPr>
      <w:r>
        <w:rPr>
          <w:rFonts w:hint="eastAsia" w:ascii="宋体" w:hAnsi="宋体"/>
          <w:b/>
          <w:bCs/>
          <w:color w:val="auto"/>
          <w:sz w:val="24"/>
          <w:highlight w:val="none"/>
        </w:rPr>
        <w:t>：乙方的权利和义务</w:t>
      </w:r>
    </w:p>
    <w:p>
      <w:pPr>
        <w:spacing w:line="360" w:lineRule="auto"/>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u w:val="single"/>
        </w:rPr>
        <w:t xml:space="preserve">            </w:t>
      </w:r>
    </w:p>
    <w:p>
      <w:pPr>
        <w:spacing w:line="360" w:lineRule="auto"/>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u w:val="single"/>
        </w:rPr>
        <w:t xml:space="preserve">            </w:t>
      </w:r>
    </w:p>
    <w:p>
      <w:pPr>
        <w:numPr>
          <w:ilvl w:val="0"/>
          <w:numId w:val="4"/>
        </w:numPr>
        <w:spacing w:line="360" w:lineRule="auto"/>
        <w:rPr>
          <w:rFonts w:hint="eastAsia" w:ascii="宋体" w:hAnsi="宋体"/>
          <w:b/>
          <w:bCs/>
          <w:color w:val="auto"/>
          <w:sz w:val="24"/>
          <w:highlight w:val="none"/>
        </w:rPr>
      </w:pPr>
      <w:r>
        <w:rPr>
          <w:rFonts w:hint="eastAsia" w:ascii="宋体" w:hAnsi="宋体"/>
          <w:b/>
          <w:bCs/>
          <w:color w:val="auto"/>
          <w:sz w:val="24"/>
          <w:highlight w:val="none"/>
        </w:rPr>
        <w:t>：其他特殊条款（如保密条款、保险规定、知识产权条款、分包或者转包的规定等等）</w:t>
      </w:r>
    </w:p>
    <w:p>
      <w:pPr>
        <w:spacing w:line="360" w:lineRule="auto"/>
        <w:rPr>
          <w:rFonts w:hint="eastAsia" w:ascii="宋体" w:hAnsi="宋体"/>
          <w:b/>
          <w:bCs/>
          <w:color w:val="auto"/>
          <w:sz w:val="24"/>
          <w:highlight w:val="none"/>
        </w:rPr>
      </w:pPr>
      <w:r>
        <w:rPr>
          <w:rFonts w:hint="eastAsia" w:ascii="宋体" w:hAnsi="宋体"/>
          <w:b/>
          <w:bCs/>
          <w:color w:val="auto"/>
          <w:sz w:val="24"/>
          <w:highlight w:val="none"/>
        </w:rPr>
        <w:t xml:space="preserve"> </w:t>
      </w:r>
    </w:p>
    <w:p>
      <w:pPr>
        <w:numPr>
          <w:ilvl w:val="0"/>
          <w:numId w:val="4"/>
        </w:numPr>
        <w:spacing w:line="360" w:lineRule="auto"/>
        <w:rPr>
          <w:rFonts w:hint="eastAsia" w:ascii="宋体" w:hAnsi="宋体"/>
          <w:b/>
          <w:bCs/>
          <w:color w:val="auto"/>
          <w:sz w:val="24"/>
          <w:highlight w:val="none"/>
        </w:rPr>
      </w:pPr>
      <w:r>
        <w:rPr>
          <w:rFonts w:hint="eastAsia" w:ascii="宋体" w:hAnsi="宋体"/>
          <w:b/>
          <w:bCs/>
          <w:color w:val="auto"/>
          <w:sz w:val="24"/>
          <w:highlight w:val="none"/>
        </w:rPr>
        <w:t>：合同解除和终止条款</w:t>
      </w:r>
    </w:p>
    <w:p>
      <w:pPr>
        <w:spacing w:line="360" w:lineRule="auto"/>
        <w:rPr>
          <w:rFonts w:hint="eastAsia" w:ascii="宋体" w:hAnsi="宋体"/>
          <w:b/>
          <w:bCs/>
          <w:color w:val="auto"/>
          <w:sz w:val="24"/>
          <w:highlight w:val="none"/>
        </w:rPr>
      </w:pPr>
      <w:r>
        <w:rPr>
          <w:rFonts w:hint="eastAsia" w:ascii="宋体" w:hAnsi="宋体"/>
          <w:b/>
          <w:bCs/>
          <w:color w:val="auto"/>
          <w:sz w:val="24"/>
          <w:highlight w:val="none"/>
        </w:rPr>
        <w:t xml:space="preserve"> </w:t>
      </w:r>
    </w:p>
    <w:p>
      <w:pPr>
        <w:numPr>
          <w:ilvl w:val="0"/>
          <w:numId w:val="4"/>
        </w:numPr>
        <w:spacing w:line="360" w:lineRule="auto"/>
        <w:rPr>
          <w:rFonts w:hint="eastAsia" w:ascii="宋体" w:hAnsi="宋体"/>
          <w:b/>
          <w:bCs/>
          <w:color w:val="auto"/>
          <w:sz w:val="24"/>
          <w:highlight w:val="none"/>
        </w:rPr>
      </w:pPr>
      <w:r>
        <w:rPr>
          <w:rFonts w:hint="eastAsia" w:ascii="宋体" w:hAnsi="宋体"/>
          <w:b/>
          <w:bCs/>
          <w:color w:val="auto"/>
          <w:sz w:val="24"/>
          <w:highlight w:val="none"/>
        </w:rPr>
        <w:t>：验收或考核条款</w:t>
      </w:r>
    </w:p>
    <w:p>
      <w:pPr>
        <w:spacing w:line="360" w:lineRule="auto"/>
        <w:rPr>
          <w:rFonts w:hint="eastAsia" w:ascii="宋体" w:hAnsi="宋体"/>
          <w:b/>
          <w:bCs/>
          <w:color w:val="auto"/>
          <w:sz w:val="24"/>
          <w:highlight w:val="none"/>
        </w:rPr>
      </w:pPr>
      <w:r>
        <w:rPr>
          <w:rFonts w:hint="eastAsia" w:ascii="宋体" w:hAnsi="宋体"/>
          <w:b/>
          <w:bCs/>
          <w:color w:val="auto"/>
          <w:sz w:val="24"/>
          <w:highlight w:val="none"/>
        </w:rPr>
        <w:t xml:space="preserve"> </w:t>
      </w:r>
    </w:p>
    <w:p>
      <w:pPr>
        <w:numPr>
          <w:ilvl w:val="0"/>
          <w:numId w:val="4"/>
        </w:numPr>
        <w:spacing w:line="360" w:lineRule="auto"/>
        <w:rPr>
          <w:rFonts w:hint="eastAsia" w:ascii="宋体" w:hAnsi="宋体"/>
          <w:b/>
          <w:bCs/>
          <w:color w:val="auto"/>
          <w:sz w:val="24"/>
          <w:highlight w:val="none"/>
        </w:rPr>
      </w:pPr>
      <w:r>
        <w:rPr>
          <w:rFonts w:hint="eastAsia" w:ascii="宋体" w:hAnsi="宋体"/>
          <w:b/>
          <w:bCs/>
          <w:color w:val="auto"/>
          <w:sz w:val="24"/>
          <w:highlight w:val="none"/>
        </w:rPr>
        <w:t>：免责条款（关于不可抗力事件的约定）</w:t>
      </w:r>
    </w:p>
    <w:p>
      <w:pPr>
        <w:spacing w:line="360" w:lineRule="auto"/>
        <w:rPr>
          <w:rFonts w:hint="eastAsia" w:ascii="宋体" w:hAnsi="宋体"/>
          <w:color w:val="auto"/>
          <w:sz w:val="24"/>
          <w:highlight w:val="none"/>
        </w:rPr>
      </w:pPr>
      <w:r>
        <w:rPr>
          <w:rFonts w:hint="eastAsia" w:ascii="宋体" w:hAnsi="宋体"/>
          <w:color w:val="auto"/>
          <w:sz w:val="24"/>
          <w:highlight w:val="none"/>
        </w:rPr>
        <w:t>1、在合同有效期内，任何一方因为不可抗力事件，如：停电、道路中断、战争、台风、洪水、地震等双方共同认为属于不可抗力且足以引起被迫停止或推迟合同执行的原因，则合同履行期可相应顺延，顺延的时间等于不可抗力事件发生作用的时间。</w:t>
      </w:r>
    </w:p>
    <w:p>
      <w:pPr>
        <w:spacing w:line="360" w:lineRule="auto"/>
        <w:rPr>
          <w:rFonts w:hint="eastAsia" w:ascii="宋体" w:hAnsi="宋体"/>
          <w:color w:val="auto"/>
          <w:sz w:val="24"/>
          <w:highlight w:val="none"/>
        </w:rPr>
      </w:pPr>
      <w:r>
        <w:rPr>
          <w:rFonts w:hint="eastAsia" w:ascii="宋体" w:hAnsi="宋体"/>
          <w:color w:val="auto"/>
          <w:sz w:val="24"/>
          <w:highlight w:val="none"/>
        </w:rPr>
        <w:t>2、受影响的一方应将不可抗力事件的出现尽快通过电传或传真通知另一方。</w:t>
      </w:r>
    </w:p>
    <w:p>
      <w:pPr>
        <w:spacing w:line="360" w:lineRule="auto"/>
        <w:rPr>
          <w:rFonts w:hint="eastAsia" w:ascii="宋体" w:hAnsi="宋体"/>
          <w:color w:val="auto"/>
          <w:sz w:val="24"/>
          <w:highlight w:val="none"/>
        </w:rPr>
      </w:pPr>
      <w:r>
        <w:rPr>
          <w:rFonts w:hint="eastAsia" w:ascii="宋体" w:hAnsi="宋体"/>
          <w:color w:val="auto"/>
          <w:sz w:val="24"/>
          <w:highlight w:val="none"/>
        </w:rPr>
        <w:t>3、受影响的一方应在不可抗力事件终止或被排除后尽快通过电传或传真通知另一方。如果不可抗力持续作用超过</w:t>
      </w:r>
      <w:r>
        <w:rPr>
          <w:rFonts w:hint="eastAsia" w:ascii="宋体" w:hAnsi="宋体"/>
          <w:color w:val="auto"/>
          <w:sz w:val="24"/>
          <w:highlight w:val="none"/>
          <w:u w:val="single"/>
        </w:rPr>
        <w:t xml:space="preserve">      </w:t>
      </w:r>
      <w:r>
        <w:rPr>
          <w:rFonts w:hint="eastAsia" w:ascii="宋体" w:hAnsi="宋体"/>
          <w:color w:val="auto"/>
          <w:sz w:val="24"/>
          <w:highlight w:val="none"/>
        </w:rPr>
        <w:t>，双方通过友好协商解决未来的合同履行问题。</w:t>
      </w:r>
    </w:p>
    <w:p>
      <w:pPr>
        <w:numPr>
          <w:ilvl w:val="0"/>
          <w:numId w:val="4"/>
        </w:numPr>
        <w:spacing w:line="360" w:lineRule="auto"/>
        <w:rPr>
          <w:rFonts w:hint="eastAsia" w:ascii="宋体" w:hAnsi="宋体"/>
          <w:b/>
          <w:bCs/>
          <w:color w:val="auto"/>
          <w:sz w:val="24"/>
          <w:highlight w:val="none"/>
        </w:rPr>
      </w:pPr>
      <w:r>
        <w:rPr>
          <w:rFonts w:hint="eastAsia" w:ascii="宋体" w:hAnsi="宋体"/>
          <w:b/>
          <w:bCs/>
          <w:color w:val="auto"/>
          <w:sz w:val="24"/>
          <w:highlight w:val="none"/>
        </w:rPr>
        <w:t>：管辖条款</w:t>
      </w:r>
    </w:p>
    <w:p>
      <w:pPr>
        <w:spacing w:line="360" w:lineRule="auto"/>
        <w:rPr>
          <w:rFonts w:hint="eastAsia" w:ascii="宋体" w:hAnsi="宋体"/>
          <w:color w:val="auto"/>
          <w:sz w:val="24"/>
          <w:highlight w:val="none"/>
        </w:rPr>
      </w:pPr>
      <w:r>
        <w:rPr>
          <w:rFonts w:hint="eastAsia" w:ascii="宋体" w:hAnsi="宋体"/>
          <w:color w:val="auto"/>
          <w:sz w:val="24"/>
          <w:highlight w:val="none"/>
        </w:rPr>
        <w:t>有关本合同出现的任何争议应由甲乙双方友好协商。协议不成的，交由</w:t>
      </w:r>
      <w:r>
        <w:rPr>
          <w:rFonts w:hint="eastAsia" w:ascii="宋体" w:hAnsi="宋体"/>
          <w:color w:val="auto"/>
          <w:sz w:val="24"/>
          <w:highlight w:val="none"/>
          <w:u w:val="single"/>
        </w:rPr>
        <w:t xml:space="preserve">            </w:t>
      </w:r>
      <w:r>
        <w:rPr>
          <w:rFonts w:hint="eastAsia" w:ascii="宋体" w:hAnsi="宋体"/>
          <w:color w:val="auto"/>
          <w:sz w:val="24"/>
          <w:highlight w:val="none"/>
        </w:rPr>
        <w:t>裁决（或者向</w:t>
      </w:r>
      <w:r>
        <w:rPr>
          <w:rFonts w:hint="eastAsia" w:ascii="宋体" w:hAnsi="宋体"/>
          <w:color w:val="auto"/>
          <w:sz w:val="24"/>
          <w:highlight w:val="none"/>
          <w:u w:val="single"/>
        </w:rPr>
        <w:t xml:space="preserve">            </w:t>
      </w:r>
      <w:r>
        <w:rPr>
          <w:rFonts w:hint="eastAsia" w:ascii="宋体" w:hAnsi="宋体"/>
          <w:color w:val="auto"/>
          <w:sz w:val="24"/>
          <w:highlight w:val="none"/>
        </w:rPr>
        <w:t>所在地法院起诉）。</w:t>
      </w:r>
    </w:p>
    <w:p>
      <w:pPr>
        <w:numPr>
          <w:ilvl w:val="0"/>
          <w:numId w:val="4"/>
        </w:numPr>
        <w:spacing w:line="360" w:lineRule="auto"/>
        <w:rPr>
          <w:rFonts w:hint="eastAsia" w:ascii="宋体" w:hAnsi="宋体"/>
          <w:b/>
          <w:bCs/>
          <w:color w:val="auto"/>
          <w:sz w:val="24"/>
          <w:highlight w:val="none"/>
        </w:rPr>
      </w:pPr>
      <w:r>
        <w:rPr>
          <w:rFonts w:hint="eastAsia" w:ascii="宋体" w:hAnsi="宋体"/>
          <w:b/>
          <w:bCs/>
          <w:color w:val="auto"/>
          <w:sz w:val="24"/>
          <w:highlight w:val="none"/>
        </w:rPr>
        <w:t>：合同生效</w:t>
      </w:r>
    </w:p>
    <w:p>
      <w:pPr>
        <w:widowControl/>
        <w:overflowPunct w:val="0"/>
        <w:autoSpaceDE w:val="0"/>
        <w:autoSpaceDN w:val="0"/>
        <w:adjustRightInd w:val="0"/>
        <w:snapToGrid w:val="0"/>
        <w:spacing w:line="360" w:lineRule="auto"/>
        <w:jc w:val="left"/>
        <w:textAlignment w:val="baseline"/>
        <w:rPr>
          <w:rFonts w:hint="eastAsia" w:ascii="宋体" w:hAnsi="宋体"/>
          <w:color w:val="auto"/>
          <w:kern w:val="0"/>
          <w:sz w:val="24"/>
          <w:highlight w:val="none"/>
        </w:rPr>
      </w:pPr>
      <w:r>
        <w:rPr>
          <w:rFonts w:hint="eastAsia" w:ascii="宋体" w:hAnsi="宋体"/>
          <w:color w:val="auto"/>
          <w:kern w:val="0"/>
          <w:sz w:val="24"/>
          <w:highlight w:val="none"/>
        </w:rPr>
        <w:t>1、采购文件、投标文件、更正公告、中标通知书、承诺函等均作为本合同组成部分，具有同等效力。</w:t>
      </w:r>
    </w:p>
    <w:p>
      <w:pPr>
        <w:widowControl/>
        <w:overflowPunct w:val="0"/>
        <w:autoSpaceDE w:val="0"/>
        <w:autoSpaceDN w:val="0"/>
        <w:adjustRightInd w:val="0"/>
        <w:snapToGrid w:val="0"/>
        <w:spacing w:line="360" w:lineRule="auto"/>
        <w:jc w:val="left"/>
        <w:textAlignment w:val="baseline"/>
        <w:rPr>
          <w:rFonts w:hint="eastAsia" w:ascii="宋体" w:hAnsi="宋体"/>
          <w:color w:val="auto"/>
          <w:kern w:val="0"/>
          <w:sz w:val="24"/>
          <w:highlight w:val="none"/>
        </w:rPr>
      </w:pPr>
      <w:r>
        <w:rPr>
          <w:rFonts w:hint="eastAsia" w:ascii="宋体" w:hAnsi="宋体"/>
          <w:color w:val="auto"/>
          <w:kern w:val="0"/>
          <w:sz w:val="24"/>
          <w:highlight w:val="none"/>
        </w:rPr>
        <w:t>2、合同经双方法定代表人或其授权代表签字并加盖单位公章后方可生效。</w:t>
      </w:r>
    </w:p>
    <w:p>
      <w:pPr>
        <w:widowControl/>
        <w:overflowPunct w:val="0"/>
        <w:autoSpaceDE w:val="0"/>
        <w:autoSpaceDN w:val="0"/>
        <w:adjustRightInd w:val="0"/>
        <w:snapToGrid w:val="0"/>
        <w:spacing w:line="360" w:lineRule="auto"/>
        <w:jc w:val="left"/>
        <w:textAlignment w:val="baseline"/>
        <w:rPr>
          <w:rFonts w:hint="eastAsia" w:ascii="宋体" w:hAnsi="宋体"/>
          <w:color w:val="auto"/>
          <w:kern w:val="0"/>
          <w:sz w:val="24"/>
          <w:highlight w:val="none"/>
        </w:rPr>
      </w:pPr>
      <w:r>
        <w:rPr>
          <w:rFonts w:hint="eastAsia" w:ascii="宋体" w:hAnsi="宋体"/>
          <w:color w:val="auto"/>
          <w:kern w:val="0"/>
          <w:sz w:val="24"/>
          <w:highlight w:val="none"/>
        </w:rPr>
        <w:t>3、合同执行中涉及采购资金和采购内容修改或补充的，须经财政部门审批，并签书面补充协议报政府采购监督管理部门备案，作为主合同不可分割的一部分。</w:t>
      </w:r>
    </w:p>
    <w:p>
      <w:pPr>
        <w:pStyle w:val="12"/>
        <w:snapToGrid w:val="0"/>
        <w:spacing w:line="360" w:lineRule="auto"/>
        <w:rPr>
          <w:rFonts w:hint="eastAsia" w:hAnsi="宋体"/>
          <w:color w:val="auto"/>
          <w:sz w:val="24"/>
          <w:szCs w:val="24"/>
          <w:highlight w:val="none"/>
          <w:lang w:val="zh-CN"/>
        </w:rPr>
      </w:pPr>
      <w:r>
        <w:rPr>
          <w:rFonts w:hint="eastAsia" w:hAnsi="宋体"/>
          <w:color w:val="auto"/>
          <w:sz w:val="24"/>
          <w:szCs w:val="24"/>
          <w:highlight w:val="none"/>
          <w:lang w:val="en-US" w:eastAsia="zh-CN"/>
        </w:rPr>
        <w:t>4、</w:t>
      </w:r>
      <w:r>
        <w:rPr>
          <w:rFonts w:hint="eastAsia" w:hAnsi="宋体"/>
          <w:color w:val="auto"/>
          <w:sz w:val="24"/>
          <w:szCs w:val="24"/>
          <w:highlight w:val="none"/>
          <w:lang w:val="zh-CN"/>
        </w:rPr>
        <w:t xml:space="preserve"> 本合同（</w:t>
      </w:r>
      <w:r>
        <w:rPr>
          <w:rFonts w:hint="eastAsia" w:hAnsi="宋体"/>
          <w:color w:val="auto"/>
          <w:sz w:val="24"/>
          <w:szCs w:val="24"/>
          <w:highlight w:val="none"/>
        </w:rPr>
        <w:t>□是  □</w:t>
      </w:r>
      <w:r>
        <w:rPr>
          <w:rFonts w:hint="eastAsia" w:hAnsi="宋体"/>
          <w:color w:val="auto"/>
          <w:sz w:val="24"/>
          <w:szCs w:val="24"/>
          <w:highlight w:val="none"/>
          <w:lang w:val="zh-CN"/>
        </w:rPr>
        <w:t>否）为可融资合同，关于中小企业信用融资事项</w:t>
      </w:r>
      <w:r>
        <w:rPr>
          <w:rFonts w:hint="eastAsia" w:hAnsi="宋体"/>
          <w:color w:val="auto"/>
          <w:sz w:val="24"/>
          <w:szCs w:val="24"/>
          <w:highlight w:val="none"/>
        </w:rPr>
        <w:t>可登陆</w:t>
      </w:r>
      <w:r>
        <w:rPr>
          <w:rFonts w:hint="eastAsia" w:ascii="宋体" w:hAnsi="宋体" w:eastAsia="宋体" w:cs="宋体"/>
          <w:color w:val="auto"/>
          <w:sz w:val="24"/>
          <w:highlight w:val="none"/>
        </w:rPr>
        <w:t>余杭区</w:t>
      </w:r>
      <w:r>
        <w:rPr>
          <w:rFonts w:hint="eastAsia" w:ascii="宋体" w:hAnsi="宋体" w:eastAsia="宋体" w:cs="宋体"/>
          <w:color w:val="auto"/>
          <w:sz w:val="24"/>
          <w:highlight w:val="none"/>
          <w:lang w:val="en-US" w:eastAsia="zh-CN"/>
        </w:rPr>
        <w:t>公共资源交易</w:t>
      </w:r>
      <w:r>
        <w:rPr>
          <w:rFonts w:hint="eastAsia" w:ascii="宋体" w:hAnsi="宋体" w:eastAsia="宋体" w:cs="宋体"/>
          <w:color w:val="auto"/>
          <w:sz w:val="24"/>
          <w:highlight w:val="none"/>
        </w:rPr>
        <w:t>网（http://www.yhggzy.com.cn/）</w:t>
      </w:r>
      <w:r>
        <w:rPr>
          <w:rFonts w:hint="eastAsia" w:hAnsi="宋体" w:eastAsia="宋体" w:cs="宋体"/>
          <w:color w:val="auto"/>
          <w:sz w:val="24"/>
          <w:highlight w:val="none"/>
          <w:lang w:eastAsia="zh-CN"/>
        </w:rPr>
        <w:t>“</w:t>
      </w:r>
      <w:r>
        <w:rPr>
          <w:rFonts w:hint="eastAsia" w:ascii="宋体" w:hAnsi="宋体" w:eastAsia="宋体" w:cs="宋体"/>
          <w:color w:val="auto"/>
          <w:sz w:val="24"/>
          <w:highlight w:val="none"/>
          <w:lang w:eastAsia="zh-CN"/>
        </w:rPr>
        <w:t>余杭区中小企业信用融资模块</w:t>
      </w:r>
      <w:r>
        <w:rPr>
          <w:rFonts w:hint="eastAsia" w:hAnsi="宋体" w:eastAsia="宋体" w:cs="宋体"/>
          <w:color w:val="auto"/>
          <w:sz w:val="24"/>
          <w:highlight w:val="none"/>
          <w:lang w:eastAsia="zh-CN"/>
        </w:rPr>
        <w:t>”进行</w:t>
      </w:r>
      <w:r>
        <w:rPr>
          <w:rFonts w:hint="eastAsia" w:ascii="宋体" w:hAnsi="宋体" w:eastAsia="宋体" w:cs="宋体"/>
          <w:color w:val="auto"/>
          <w:sz w:val="24"/>
          <w:highlight w:val="none"/>
        </w:rPr>
        <w:t>查询</w:t>
      </w:r>
      <w:r>
        <w:rPr>
          <w:rFonts w:hint="eastAsia" w:hAnsi="宋体"/>
          <w:color w:val="auto"/>
          <w:sz w:val="24"/>
          <w:szCs w:val="24"/>
          <w:highlight w:val="none"/>
        </w:rPr>
        <w:t>。</w:t>
      </w:r>
    </w:p>
    <w:p>
      <w:pPr>
        <w:widowControl/>
        <w:overflowPunct w:val="0"/>
        <w:autoSpaceDE w:val="0"/>
        <w:autoSpaceDN w:val="0"/>
        <w:adjustRightInd w:val="0"/>
        <w:snapToGrid w:val="0"/>
        <w:spacing w:line="360" w:lineRule="auto"/>
        <w:jc w:val="left"/>
        <w:textAlignment w:val="baseline"/>
        <w:rPr>
          <w:rFonts w:hint="eastAsia" w:ascii="宋体" w:hAnsi="宋体"/>
          <w:color w:val="auto"/>
          <w:kern w:val="0"/>
          <w:sz w:val="24"/>
          <w:highlight w:val="none"/>
        </w:rPr>
      </w:pPr>
      <w:r>
        <w:rPr>
          <w:rFonts w:hint="eastAsia" w:ascii="宋体" w:hAnsi="宋体"/>
          <w:color w:val="auto"/>
          <w:kern w:val="0"/>
          <w:sz w:val="24"/>
          <w:highlight w:val="none"/>
          <w:lang w:val="en-US" w:eastAsia="zh-CN"/>
        </w:rPr>
        <w:t>5</w:t>
      </w:r>
      <w:r>
        <w:rPr>
          <w:rFonts w:hint="eastAsia" w:ascii="宋体" w:hAnsi="宋体"/>
          <w:color w:val="auto"/>
          <w:kern w:val="0"/>
          <w:sz w:val="24"/>
          <w:highlight w:val="none"/>
        </w:rPr>
        <w:t>、本合同未尽事宜，遵照《合同法》有关条文执行。</w:t>
      </w:r>
    </w:p>
    <w:p>
      <w:pPr>
        <w:widowControl/>
        <w:overflowPunct w:val="0"/>
        <w:autoSpaceDE w:val="0"/>
        <w:autoSpaceDN w:val="0"/>
        <w:adjustRightInd w:val="0"/>
        <w:snapToGrid w:val="0"/>
        <w:spacing w:line="360" w:lineRule="auto"/>
        <w:jc w:val="left"/>
        <w:textAlignment w:val="baseline"/>
        <w:rPr>
          <w:rFonts w:hint="eastAsia" w:ascii="宋体" w:hAnsi="宋体"/>
          <w:color w:val="auto"/>
          <w:kern w:val="0"/>
          <w:sz w:val="24"/>
          <w:highlight w:val="none"/>
        </w:rPr>
      </w:pPr>
      <w:r>
        <w:rPr>
          <w:rFonts w:hint="eastAsia" w:ascii="宋体" w:hAnsi="宋体"/>
          <w:color w:val="auto"/>
          <w:kern w:val="0"/>
          <w:sz w:val="24"/>
          <w:highlight w:val="none"/>
          <w:lang w:val="en-US" w:eastAsia="zh-CN"/>
        </w:rPr>
        <w:t>6</w:t>
      </w:r>
      <w:r>
        <w:rPr>
          <w:rFonts w:hint="eastAsia" w:ascii="宋体" w:hAnsi="宋体"/>
          <w:color w:val="auto"/>
          <w:kern w:val="0"/>
          <w:sz w:val="24"/>
          <w:highlight w:val="none"/>
        </w:rPr>
        <w:t xml:space="preserve">、本合同一式多份，具有同等法律效力，甲乙双方、区公共资源交易中心、余杭区财政局采购监管科，各执一份。 </w:t>
      </w:r>
    </w:p>
    <w:p>
      <w:pPr>
        <w:spacing w:line="360" w:lineRule="auto"/>
        <w:ind w:firstLine="360" w:firstLineChars="150"/>
        <w:jc w:val="left"/>
        <w:rPr>
          <w:rFonts w:hint="eastAsia" w:ascii="宋体" w:hAnsi="宋体"/>
          <w:color w:val="auto"/>
          <w:sz w:val="24"/>
          <w:szCs w:val="24"/>
          <w:highlight w:val="none"/>
        </w:rPr>
      </w:pPr>
    </w:p>
    <w:p>
      <w:pPr>
        <w:spacing w:line="360" w:lineRule="auto"/>
        <w:ind w:firstLine="360" w:firstLineChars="150"/>
        <w:jc w:val="left"/>
        <w:rPr>
          <w:rFonts w:hint="eastAsia" w:ascii="宋体" w:hAnsi="宋体"/>
          <w:color w:val="auto"/>
          <w:sz w:val="24"/>
          <w:szCs w:val="24"/>
          <w:highlight w:val="none"/>
        </w:rPr>
      </w:pPr>
      <w:r>
        <w:rPr>
          <w:rFonts w:hint="eastAsia" w:ascii="宋体" w:hAnsi="宋体"/>
          <w:color w:val="auto"/>
          <w:sz w:val="24"/>
          <w:szCs w:val="24"/>
          <w:highlight w:val="none"/>
        </w:rPr>
        <w:t xml:space="preserve"> 甲方（盖章）：                          乙方（盖章）：                 </w:t>
      </w:r>
    </w:p>
    <w:p>
      <w:pPr>
        <w:spacing w:line="360" w:lineRule="auto"/>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 xml:space="preserve">法定代表人：                           法定代表人：                </w:t>
      </w:r>
    </w:p>
    <w:p>
      <w:pPr>
        <w:spacing w:line="360" w:lineRule="auto"/>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 xml:space="preserve">或授权代表（签字）：                    或授权代表（签字）：           </w:t>
      </w:r>
    </w:p>
    <w:p>
      <w:pPr>
        <w:spacing w:line="360" w:lineRule="auto"/>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 xml:space="preserve">地址：                                 地址：    </w:t>
      </w:r>
    </w:p>
    <w:p>
      <w:pPr>
        <w:spacing w:line="360" w:lineRule="auto"/>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 xml:space="preserve">邮编：                                 邮编：                     </w:t>
      </w:r>
    </w:p>
    <w:p>
      <w:pPr>
        <w:spacing w:line="360" w:lineRule="auto"/>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 xml:space="preserve">电话：                                 电话：             </w:t>
      </w:r>
    </w:p>
    <w:p>
      <w:pPr>
        <w:spacing w:line="360" w:lineRule="auto"/>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 xml:space="preserve">传真：                                 传真：         </w:t>
      </w:r>
    </w:p>
    <w:p>
      <w:pPr>
        <w:spacing w:line="360" w:lineRule="auto"/>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 xml:space="preserve">开户银行：                             开户银行：    </w:t>
      </w:r>
    </w:p>
    <w:p>
      <w:pPr>
        <w:spacing w:line="360" w:lineRule="auto"/>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 xml:space="preserve">帐号：                                 帐号：     </w:t>
      </w:r>
    </w:p>
    <w:p>
      <w:pPr>
        <w:spacing w:line="360" w:lineRule="auto"/>
        <w:ind w:right="120"/>
        <w:jc w:val="right"/>
        <w:rPr>
          <w:rFonts w:hint="eastAsia" w:ascii="宋体" w:hAnsi="宋体"/>
          <w:color w:val="auto"/>
          <w:sz w:val="24"/>
          <w:szCs w:val="24"/>
          <w:highlight w:val="none"/>
        </w:rPr>
      </w:pPr>
      <w:r>
        <w:rPr>
          <w:rFonts w:hint="eastAsia" w:ascii="宋体" w:hAnsi="宋体"/>
          <w:color w:val="auto"/>
          <w:sz w:val="24"/>
          <w:szCs w:val="24"/>
          <w:highlight w:val="none"/>
        </w:rPr>
        <w:t xml:space="preserve">    </w:t>
      </w:r>
    </w:p>
    <w:p>
      <w:pPr>
        <w:spacing w:line="360" w:lineRule="auto"/>
        <w:ind w:right="120"/>
        <w:jc w:val="right"/>
        <w:rPr>
          <w:rFonts w:hint="eastAsia" w:ascii="宋体" w:hAnsi="宋体"/>
          <w:color w:val="auto"/>
          <w:sz w:val="24"/>
          <w:szCs w:val="24"/>
          <w:highlight w:val="none"/>
        </w:rPr>
      </w:pPr>
      <w:r>
        <w:rPr>
          <w:rFonts w:hint="eastAsia" w:ascii="宋体" w:hAnsi="宋体"/>
          <w:color w:val="auto"/>
          <w:sz w:val="24"/>
          <w:szCs w:val="24"/>
          <w:highlight w:val="none"/>
        </w:rPr>
        <w:t>签约时间：      年    月   日</w:t>
      </w:r>
    </w:p>
    <w:p>
      <w:pPr>
        <w:wordWrap w:val="0"/>
        <w:spacing w:line="360" w:lineRule="auto"/>
        <w:jc w:val="right"/>
        <w:rPr>
          <w:rFonts w:hint="eastAsia" w:ascii="宋体" w:hAnsi="宋体"/>
          <w:color w:val="auto"/>
          <w:sz w:val="24"/>
          <w:szCs w:val="24"/>
          <w:highlight w:val="none"/>
        </w:rPr>
      </w:pPr>
      <w:r>
        <w:rPr>
          <w:rFonts w:hint="eastAsia" w:ascii="宋体" w:hAnsi="宋体"/>
          <w:color w:val="auto"/>
          <w:sz w:val="24"/>
          <w:szCs w:val="24"/>
          <w:highlight w:val="none"/>
        </w:rPr>
        <w:t xml:space="preserve">签约地点：                    </w:t>
      </w:r>
    </w:p>
    <w:p>
      <w:pPr>
        <w:rPr>
          <w:color w:val="auto"/>
          <w:highlight w:val="none"/>
        </w:rPr>
      </w:pPr>
      <w:bookmarkStart w:id="9" w:name="_Toc326765771"/>
      <w:bookmarkStart w:id="10" w:name="_Toc328381300"/>
      <w:bookmarkStart w:id="11" w:name="_Toc339872468"/>
      <w:bookmarkStart w:id="12" w:name="_Toc349721554"/>
      <w:bookmarkStart w:id="13" w:name="_Toc350327365"/>
      <w:bookmarkStart w:id="14" w:name="_Toc32231"/>
      <w:r>
        <w:rPr>
          <w:rFonts w:hint="eastAsia" w:ascii="宋体" w:hAnsi="宋体" w:eastAsia="宋体"/>
          <w:color w:val="auto"/>
          <w:sz w:val="24"/>
          <w:szCs w:val="24"/>
          <w:highlight w:val="none"/>
        </w:rPr>
        <w:t>★ 此仅为合同书样本，</w:t>
      </w:r>
      <w:r>
        <w:rPr>
          <w:rFonts w:hint="eastAsia" w:ascii="宋体" w:hAnsi="宋体"/>
          <w:color w:val="auto"/>
          <w:sz w:val="24"/>
          <w:szCs w:val="24"/>
          <w:highlight w:val="none"/>
          <w:lang w:eastAsia="zh-CN"/>
        </w:rPr>
        <w:t>成交</w:t>
      </w:r>
      <w:r>
        <w:rPr>
          <w:rFonts w:hint="eastAsia" w:ascii="宋体" w:hAnsi="宋体" w:eastAsia="宋体"/>
          <w:color w:val="auto"/>
          <w:sz w:val="24"/>
          <w:szCs w:val="24"/>
          <w:highlight w:val="none"/>
        </w:rPr>
        <w:t>单位需根据实际情况和采购人签订相应的合同！</w:t>
      </w:r>
      <w:bookmarkEnd w:id="9"/>
      <w:bookmarkEnd w:id="10"/>
      <w:bookmarkEnd w:id="11"/>
      <w:bookmarkEnd w:id="12"/>
      <w:bookmarkEnd w:id="13"/>
      <w:bookmarkEnd w:id="14"/>
    </w:p>
    <w:p>
      <w:pPr>
        <w:rPr>
          <w:color w:val="auto"/>
          <w:highlight w:val="none"/>
        </w:rPr>
      </w:pPr>
    </w:p>
    <w:p>
      <w:pPr>
        <w:pStyle w:val="40"/>
        <w:rPr>
          <w:rFonts w:ascii="宋体" w:hAnsi="宋体" w:eastAsia="宋体"/>
          <w:color w:val="auto"/>
          <w:highlight w:val="none"/>
        </w:rPr>
      </w:pPr>
      <w:r>
        <w:rPr>
          <w:rFonts w:ascii="宋体" w:hAnsi="宋体" w:eastAsia="宋体"/>
          <w:color w:val="auto"/>
          <w:highlight w:val="none"/>
        </w:rPr>
        <w:br w:type="page"/>
      </w:r>
      <w:bookmarkStart w:id="15" w:name="_Toc303256682"/>
      <w:bookmarkStart w:id="16" w:name="_Toc29102"/>
      <w:r>
        <w:rPr>
          <w:rFonts w:hint="eastAsia" w:ascii="宋体" w:hAnsi="宋体" w:eastAsia="宋体"/>
          <w:color w:val="auto"/>
          <w:highlight w:val="none"/>
        </w:rPr>
        <w:t>第五部分 响应文件格式</w:t>
      </w:r>
      <w:bookmarkEnd w:id="15"/>
      <w:bookmarkEnd w:id="16"/>
    </w:p>
    <w:p>
      <w:pPr>
        <w:spacing w:line="440" w:lineRule="exact"/>
        <w:jc w:val="center"/>
        <w:rPr>
          <w:rFonts w:ascii="宋体" w:hAnsi="宋体"/>
          <w:color w:val="auto"/>
          <w:szCs w:val="21"/>
          <w:highlight w:val="none"/>
        </w:rPr>
      </w:pPr>
    </w:p>
    <w:p>
      <w:pPr>
        <w:spacing w:line="440" w:lineRule="exact"/>
        <w:jc w:val="center"/>
        <w:rPr>
          <w:rFonts w:ascii="宋体" w:hAnsi="宋体"/>
          <w:b/>
          <w:bCs/>
          <w:color w:val="auto"/>
          <w:sz w:val="32"/>
          <w:szCs w:val="32"/>
          <w:highlight w:val="none"/>
        </w:rPr>
      </w:pPr>
      <w:bookmarkStart w:id="17" w:name="_Toc297472057"/>
      <w:bookmarkStart w:id="18" w:name="_Toc297472825"/>
      <w:bookmarkStart w:id="19" w:name="_Toc303256683"/>
      <w:bookmarkStart w:id="20" w:name="_Toc328381294"/>
      <w:bookmarkStart w:id="21" w:name="_Toc339872470"/>
      <w:bookmarkStart w:id="22" w:name="_Toc350409931"/>
      <w:bookmarkStart w:id="23" w:name="_Toc350410022"/>
      <w:bookmarkStart w:id="24" w:name="_Toc367698158"/>
      <w:r>
        <w:rPr>
          <w:rFonts w:hint="eastAsia" w:ascii="宋体" w:hAnsi="宋体" w:cs="宋体"/>
          <w:b/>
          <w:color w:val="auto"/>
          <w:kern w:val="0"/>
          <w:sz w:val="32"/>
          <w:szCs w:val="32"/>
          <w:highlight w:val="none"/>
        </w:rPr>
        <w:t>一、谈判响应</w:t>
      </w:r>
      <w:r>
        <w:rPr>
          <w:rFonts w:hint="eastAsia" w:ascii="宋体" w:hAnsi="宋体"/>
          <w:b/>
          <w:color w:val="auto"/>
          <w:sz w:val="32"/>
          <w:szCs w:val="32"/>
          <w:highlight w:val="none"/>
        </w:rPr>
        <w:t>函</w:t>
      </w:r>
      <w:bookmarkEnd w:id="17"/>
      <w:bookmarkEnd w:id="18"/>
      <w:bookmarkEnd w:id="19"/>
      <w:bookmarkEnd w:id="20"/>
      <w:bookmarkEnd w:id="21"/>
      <w:bookmarkEnd w:id="22"/>
      <w:bookmarkEnd w:id="23"/>
      <w:bookmarkEnd w:id="24"/>
    </w:p>
    <w:p>
      <w:pPr>
        <w:spacing w:line="440" w:lineRule="exact"/>
        <w:rPr>
          <w:rFonts w:ascii="宋体" w:hAnsi="宋体"/>
          <w:b/>
          <w:color w:val="auto"/>
          <w:sz w:val="24"/>
          <w:highlight w:val="none"/>
        </w:rPr>
      </w:pPr>
      <w:r>
        <w:rPr>
          <w:rFonts w:hint="eastAsia" w:ascii="宋体" w:hAnsi="宋体"/>
          <w:b/>
          <w:color w:val="auto"/>
          <w:sz w:val="24"/>
          <w:highlight w:val="none"/>
        </w:rPr>
        <w:t>杭州市公共资源交易中心余杭分中心：</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(谈判响应方全称)授权</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(全权代表姓名)</w:t>
      </w:r>
      <w:r>
        <w:rPr>
          <w:rFonts w:ascii="宋体" w:hAnsi="宋体"/>
          <w:color w:val="auto"/>
          <w:sz w:val="24"/>
          <w:highlight w:val="none"/>
          <w:u w:val="single"/>
        </w:rPr>
        <w:t xml:space="preserve">          </w:t>
      </w:r>
      <w:r>
        <w:rPr>
          <w:rFonts w:hint="eastAsia" w:ascii="宋体" w:hAnsi="宋体"/>
          <w:color w:val="auto"/>
          <w:sz w:val="24"/>
          <w:highlight w:val="none"/>
        </w:rPr>
        <w:t>(职务、职称)为全权代表，参加贵方组织</w:t>
      </w:r>
      <w:r>
        <w:rPr>
          <w:rFonts w:hint="eastAsia" w:ascii="宋体" w:hAnsi="宋体"/>
          <w:color w:val="auto"/>
          <w:sz w:val="24"/>
          <w:highlight w:val="none"/>
          <w:u w:val="single"/>
        </w:rPr>
        <w:t xml:space="preserve">            </w:t>
      </w:r>
      <w:r>
        <w:rPr>
          <w:rFonts w:hint="eastAsia" w:ascii="宋体" w:hAnsi="宋体"/>
          <w:color w:val="auto"/>
          <w:sz w:val="24"/>
          <w:highlight w:val="none"/>
        </w:rPr>
        <w:t>项目（项目编号：HZYHZFCG-20  -   ）采购的有关活动，并对此项目进行响应。全部响应文件，包括正本一份、副本三份，以及其他要求谈判响应方提交的全部文件。</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据此函，签字代表宣布同意如下：</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1、我方承诺已经具备《中华人民共和国政府采购法》</w:t>
      </w:r>
      <w:r>
        <w:rPr>
          <w:rFonts w:ascii="宋体" w:hAnsi="宋体"/>
          <w:color w:val="auto"/>
          <w:sz w:val="24"/>
          <w:highlight w:val="none"/>
        </w:rPr>
        <w:t>第二十二条</w:t>
      </w:r>
      <w:r>
        <w:rPr>
          <w:rFonts w:hint="eastAsia" w:ascii="宋体" w:hAnsi="宋体"/>
          <w:color w:val="auto"/>
          <w:sz w:val="24"/>
          <w:highlight w:val="none"/>
        </w:rPr>
        <w:t>中规定的参加政府采购活动的谈判响应方应当具备的条件：</w:t>
      </w:r>
    </w:p>
    <w:p>
      <w:pPr>
        <w:adjustRightInd w:val="0"/>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1</w:t>
      </w:r>
      <w:r>
        <w:rPr>
          <w:rFonts w:ascii="宋体" w:hAnsi="宋体"/>
          <w:color w:val="auto"/>
          <w:sz w:val="24"/>
          <w:highlight w:val="none"/>
        </w:rPr>
        <w:t>）具有独立承担民事责任的能力；</w:t>
      </w:r>
    </w:p>
    <w:p>
      <w:pPr>
        <w:adjustRightInd w:val="0"/>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2</w:t>
      </w:r>
      <w:r>
        <w:rPr>
          <w:rFonts w:ascii="宋体" w:hAnsi="宋体"/>
          <w:color w:val="auto"/>
          <w:sz w:val="24"/>
          <w:highlight w:val="none"/>
        </w:rPr>
        <w:t>）具有良好的商业信誉和健全的财务会计制度；</w:t>
      </w:r>
    </w:p>
    <w:p>
      <w:pPr>
        <w:adjustRightInd w:val="0"/>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3</w:t>
      </w:r>
      <w:r>
        <w:rPr>
          <w:rFonts w:ascii="宋体" w:hAnsi="宋体"/>
          <w:color w:val="auto"/>
          <w:sz w:val="24"/>
          <w:highlight w:val="none"/>
        </w:rPr>
        <w:t>）具有履行合同所必需的设备和专业技术能力；</w:t>
      </w:r>
    </w:p>
    <w:p>
      <w:pPr>
        <w:adjustRightInd w:val="0"/>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4</w:t>
      </w:r>
      <w:r>
        <w:rPr>
          <w:rFonts w:ascii="宋体" w:hAnsi="宋体"/>
          <w:color w:val="auto"/>
          <w:sz w:val="24"/>
          <w:highlight w:val="none"/>
        </w:rPr>
        <w:t>）有依法缴纳税收和社会保障资金的良好记录；</w:t>
      </w:r>
    </w:p>
    <w:p>
      <w:pPr>
        <w:adjustRightInd w:val="0"/>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5</w:t>
      </w:r>
      <w:r>
        <w:rPr>
          <w:rFonts w:ascii="宋体" w:hAnsi="宋体"/>
          <w:color w:val="auto"/>
          <w:sz w:val="24"/>
          <w:highlight w:val="none"/>
        </w:rPr>
        <w:t>）参加政府采购活动前三年内，在经营活动中没有重大违法记录；</w:t>
      </w:r>
    </w:p>
    <w:p>
      <w:pPr>
        <w:adjustRightInd w:val="0"/>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6</w:t>
      </w:r>
      <w:r>
        <w:rPr>
          <w:rFonts w:ascii="宋体" w:hAnsi="宋体"/>
          <w:color w:val="auto"/>
          <w:sz w:val="24"/>
          <w:highlight w:val="none"/>
        </w:rPr>
        <w:t>）法律、行政法规规定的其他条件。</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2、本响应有效期自响应文件合格递交之日起</w:t>
      </w:r>
      <w:r>
        <w:rPr>
          <w:rFonts w:ascii="宋体" w:hAnsi="宋体"/>
          <w:b/>
          <w:color w:val="auto"/>
          <w:sz w:val="24"/>
          <w:highlight w:val="none"/>
          <w:u w:val="thick"/>
        </w:rPr>
        <w:t xml:space="preserve"> </w:t>
      </w:r>
      <w:r>
        <w:rPr>
          <w:rFonts w:hint="eastAsia" w:ascii="宋体" w:hAnsi="宋体"/>
          <w:b/>
          <w:color w:val="auto"/>
          <w:sz w:val="24"/>
          <w:highlight w:val="none"/>
          <w:u w:val="thick"/>
        </w:rPr>
        <w:t>60日</w:t>
      </w:r>
      <w:r>
        <w:rPr>
          <w:rFonts w:hint="eastAsia" w:ascii="宋体" w:hAnsi="宋体"/>
          <w:color w:val="auto"/>
          <w:sz w:val="24"/>
          <w:highlight w:val="none"/>
        </w:rPr>
        <w:t>。</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3、如我方成交，本响应文件至本项目合同履行完毕止均保持有效，我方将按采购文件及政府采购法律、法规的规定履行合同责任和义务。</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4、我方同意按照贵方要求提供与谈判响应有关的一切数据或资料，配合采购人、采购代理机构进行评审、验收等与本次采购相关工作。</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、我方在谈判响应之前已经与贵方进行了充分的沟通，完全理解并接受采购文件的各项规定和要求，对采购文件的合理性、合法性不再有异议。并保证遵守采购文件中的有关规定。</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、我方已详细审查全部采购文件，包括更正通知（如有的话）以及全部参考资料和有关附件，已经了解我方对于采购文件、采购过程、采购结果有依法进行询问、质疑、投诉的权利及相关渠道和要求。</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w:t>
      </w:r>
      <w:r>
        <w:rPr>
          <w:rFonts w:ascii="宋体" w:hAnsi="宋体"/>
          <w:color w:val="auto"/>
          <w:sz w:val="24"/>
          <w:highlight w:val="none"/>
        </w:rPr>
        <w:t>我方向贵方提交的所有响应文件、资料都是准确的和真实的</w:t>
      </w:r>
      <w:r>
        <w:rPr>
          <w:rFonts w:hint="eastAsia" w:ascii="宋体" w:hAnsi="宋体"/>
          <w:color w:val="auto"/>
          <w:sz w:val="24"/>
          <w:highlight w:val="none"/>
        </w:rPr>
        <w:t>。</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、我方将严格遵守《中华人民共和国政府采购法》第七十七条规定，</w:t>
      </w:r>
      <w:r>
        <w:rPr>
          <w:rFonts w:ascii="宋体" w:hAnsi="宋体"/>
          <w:color w:val="auto"/>
          <w:sz w:val="24"/>
          <w:highlight w:val="none"/>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1</w:t>
      </w:r>
      <w:r>
        <w:rPr>
          <w:rFonts w:ascii="宋体" w:hAnsi="宋体"/>
          <w:color w:val="auto"/>
          <w:sz w:val="24"/>
          <w:highlight w:val="none"/>
        </w:rPr>
        <w:t>）提供虚假材料谋取中标、成交的；</w:t>
      </w:r>
    </w:p>
    <w:p>
      <w:pPr>
        <w:adjustRightInd w:val="0"/>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2</w:t>
      </w:r>
      <w:r>
        <w:rPr>
          <w:rFonts w:ascii="宋体" w:hAnsi="宋体"/>
          <w:color w:val="auto"/>
          <w:sz w:val="24"/>
          <w:highlight w:val="none"/>
        </w:rPr>
        <w:t>）采取不正当手段诋毁、排挤其他供应商的；</w:t>
      </w:r>
    </w:p>
    <w:p>
      <w:pPr>
        <w:adjustRightInd w:val="0"/>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3</w:t>
      </w:r>
      <w:r>
        <w:rPr>
          <w:rFonts w:ascii="宋体" w:hAnsi="宋体"/>
          <w:color w:val="auto"/>
          <w:sz w:val="24"/>
          <w:highlight w:val="none"/>
        </w:rPr>
        <w:t>）与采购人、其他供应商或者采购代理机构恶意串通的；</w:t>
      </w:r>
    </w:p>
    <w:p>
      <w:pPr>
        <w:adjustRightInd w:val="0"/>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4</w:t>
      </w:r>
      <w:r>
        <w:rPr>
          <w:rFonts w:ascii="宋体" w:hAnsi="宋体"/>
          <w:color w:val="auto"/>
          <w:sz w:val="24"/>
          <w:highlight w:val="none"/>
        </w:rPr>
        <w:t>）向采购人、采购代理机构行贿或者提供其他不正当利益的；</w:t>
      </w:r>
    </w:p>
    <w:p>
      <w:pPr>
        <w:adjustRightInd w:val="0"/>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5</w:t>
      </w:r>
      <w:r>
        <w:rPr>
          <w:rFonts w:ascii="宋体" w:hAnsi="宋体"/>
          <w:color w:val="auto"/>
          <w:sz w:val="24"/>
          <w:highlight w:val="none"/>
        </w:rPr>
        <w:t>）在招标采购过程中与采购人进行协商谈判的；</w:t>
      </w:r>
    </w:p>
    <w:p>
      <w:pPr>
        <w:adjustRightInd w:val="0"/>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rPr>
        <w:t>6</w:t>
      </w:r>
      <w:r>
        <w:rPr>
          <w:rFonts w:ascii="宋体" w:hAnsi="宋体"/>
          <w:color w:val="auto"/>
          <w:sz w:val="24"/>
          <w:highlight w:val="none"/>
        </w:rPr>
        <w:t>）拒绝有关部门监督检查或者提供虚假情况的。</w:t>
      </w:r>
    </w:p>
    <w:p>
      <w:pPr>
        <w:adjustRightInd w:val="0"/>
        <w:snapToGrid w:val="0"/>
        <w:spacing w:line="440" w:lineRule="exact"/>
        <w:ind w:firstLine="480" w:firstLineChars="200"/>
        <w:rPr>
          <w:rFonts w:ascii="宋体" w:hAnsi="宋体"/>
          <w:color w:val="auto"/>
          <w:sz w:val="24"/>
          <w:highlight w:val="none"/>
        </w:rPr>
      </w:pPr>
      <w:r>
        <w:rPr>
          <w:rFonts w:ascii="宋体" w:hAnsi="宋体"/>
          <w:color w:val="auto"/>
          <w:sz w:val="24"/>
          <w:highlight w:val="none"/>
        </w:rPr>
        <w:t>供应商有前款第（</w:t>
      </w:r>
      <w:r>
        <w:rPr>
          <w:rFonts w:hint="eastAsia" w:ascii="宋体" w:hAnsi="宋体"/>
          <w:color w:val="auto"/>
          <w:sz w:val="24"/>
          <w:highlight w:val="none"/>
        </w:rPr>
        <w:t>1</w:t>
      </w:r>
      <w:r>
        <w:rPr>
          <w:rFonts w:ascii="宋体" w:hAnsi="宋体"/>
          <w:color w:val="auto"/>
          <w:sz w:val="24"/>
          <w:highlight w:val="none"/>
        </w:rPr>
        <w:t>）至（</w:t>
      </w:r>
      <w:r>
        <w:rPr>
          <w:rFonts w:hint="eastAsia" w:ascii="宋体" w:hAnsi="宋体"/>
          <w:color w:val="auto"/>
          <w:sz w:val="24"/>
          <w:highlight w:val="none"/>
        </w:rPr>
        <w:t>5</w:t>
      </w:r>
      <w:r>
        <w:rPr>
          <w:rFonts w:ascii="宋体" w:hAnsi="宋体"/>
          <w:color w:val="auto"/>
          <w:sz w:val="24"/>
          <w:highlight w:val="none"/>
        </w:rPr>
        <w:t>）项情形之一的，中标、成交无效。</w:t>
      </w:r>
    </w:p>
    <w:p>
      <w:pPr>
        <w:adjustRightInd w:val="0"/>
        <w:snapToGrid w:val="0"/>
        <w:spacing w:line="440" w:lineRule="exact"/>
        <w:ind w:firstLine="480" w:firstLineChars="200"/>
        <w:rPr>
          <w:rFonts w:ascii="宋体" w:hAnsi="宋体"/>
          <w:color w:val="auto"/>
          <w:sz w:val="24"/>
          <w:highlight w:val="none"/>
        </w:rPr>
      </w:pPr>
    </w:p>
    <w:p>
      <w:pPr>
        <w:autoSpaceDE w:val="0"/>
        <w:autoSpaceDN w:val="0"/>
        <w:adjustRightInd w:val="0"/>
        <w:spacing w:line="440" w:lineRule="exact"/>
        <w:rPr>
          <w:rFonts w:ascii="宋体" w:hAnsi="宋体" w:cs="仿宋_GB2312"/>
          <w:color w:val="auto"/>
          <w:kern w:val="0"/>
          <w:sz w:val="24"/>
          <w:highlight w:val="none"/>
          <w:u w:val="single"/>
          <w:lang w:val="zh-CN"/>
        </w:rPr>
      </w:pPr>
      <w:r>
        <w:rPr>
          <w:rFonts w:hint="eastAsia" w:ascii="宋体" w:hAnsi="宋体" w:cs="仿宋_GB2312"/>
          <w:color w:val="auto"/>
          <w:kern w:val="0"/>
          <w:sz w:val="24"/>
          <w:highlight w:val="none"/>
          <w:lang w:val="zh-CN"/>
        </w:rPr>
        <w:t xml:space="preserve">法定代表人或授权代表（签字）： </w:t>
      </w:r>
      <w:r>
        <w:rPr>
          <w:rFonts w:ascii="宋体" w:hAnsi="宋体" w:cs="仿宋_GB2312"/>
          <w:color w:val="auto"/>
          <w:kern w:val="0"/>
          <w:sz w:val="24"/>
          <w:highlight w:val="none"/>
          <w:u w:val="single"/>
          <w:lang w:val="zh-CN"/>
        </w:rPr>
        <w:t xml:space="preserve">                     </w:t>
      </w:r>
    </w:p>
    <w:p>
      <w:pPr>
        <w:autoSpaceDE w:val="0"/>
        <w:autoSpaceDN w:val="0"/>
        <w:adjustRightInd w:val="0"/>
        <w:spacing w:line="440" w:lineRule="exact"/>
        <w:rPr>
          <w:rFonts w:ascii="宋体" w:hAnsi="宋体" w:cs="仿宋_GB2312"/>
          <w:color w:val="auto"/>
          <w:kern w:val="0"/>
          <w:sz w:val="24"/>
          <w:highlight w:val="none"/>
          <w:u w:val="single"/>
          <w:lang w:val="zh-CN"/>
        </w:rPr>
      </w:pPr>
      <w:r>
        <w:rPr>
          <w:rFonts w:hint="eastAsia" w:ascii="宋体" w:hAnsi="宋体" w:cs="仿宋_GB2312"/>
          <w:color w:val="auto"/>
          <w:kern w:val="0"/>
          <w:sz w:val="24"/>
          <w:highlight w:val="none"/>
          <w:lang w:val="zh-CN"/>
        </w:rPr>
        <w:t>谈判响应方（公章）</w:t>
      </w:r>
      <w:r>
        <w:rPr>
          <w:rFonts w:ascii="宋体" w:hAnsi="宋体" w:cs="仿宋_GB2312"/>
          <w:color w:val="auto"/>
          <w:kern w:val="0"/>
          <w:sz w:val="24"/>
          <w:highlight w:val="none"/>
          <w:lang w:val="zh-CN"/>
        </w:rPr>
        <w:t xml:space="preserve">:  </w:t>
      </w:r>
      <w:r>
        <w:rPr>
          <w:rFonts w:ascii="宋体" w:hAnsi="宋体" w:cs="仿宋_GB2312"/>
          <w:color w:val="auto"/>
          <w:kern w:val="0"/>
          <w:sz w:val="24"/>
          <w:highlight w:val="none"/>
          <w:u w:val="single"/>
          <w:lang w:val="zh-CN"/>
        </w:rPr>
        <w:t xml:space="preserve">            </w:t>
      </w:r>
      <w:r>
        <w:rPr>
          <w:rFonts w:hint="eastAsia" w:ascii="宋体" w:hAnsi="宋体" w:cs="仿宋_GB2312"/>
          <w:color w:val="auto"/>
          <w:kern w:val="0"/>
          <w:sz w:val="24"/>
          <w:highlight w:val="none"/>
          <w:u w:val="single"/>
          <w:lang w:val="zh-CN"/>
        </w:rPr>
        <w:t xml:space="preserve">  </w:t>
      </w:r>
      <w:r>
        <w:rPr>
          <w:rFonts w:ascii="宋体" w:hAnsi="宋体" w:cs="仿宋_GB2312"/>
          <w:color w:val="auto"/>
          <w:kern w:val="0"/>
          <w:sz w:val="24"/>
          <w:highlight w:val="none"/>
          <w:u w:val="single"/>
          <w:lang w:val="zh-CN"/>
        </w:rPr>
        <w:t xml:space="preserve">         </w:t>
      </w:r>
    </w:p>
    <w:p>
      <w:pPr>
        <w:autoSpaceDE w:val="0"/>
        <w:autoSpaceDN w:val="0"/>
        <w:adjustRightInd w:val="0"/>
        <w:spacing w:line="440" w:lineRule="exact"/>
        <w:rPr>
          <w:rFonts w:ascii="宋体" w:hAnsi="宋体"/>
          <w:color w:val="auto"/>
          <w:kern w:val="0"/>
          <w:sz w:val="24"/>
          <w:highlight w:val="none"/>
        </w:rPr>
      </w:pPr>
      <w:r>
        <w:rPr>
          <w:rFonts w:hint="eastAsia" w:ascii="宋体" w:hAnsi="宋体" w:cs="仿宋_GB2312"/>
          <w:color w:val="auto"/>
          <w:kern w:val="0"/>
          <w:sz w:val="24"/>
          <w:highlight w:val="none"/>
          <w:lang w:val="zh-CN"/>
        </w:rPr>
        <w:t>联系人：</w:t>
      </w:r>
      <w:r>
        <w:rPr>
          <w:rFonts w:ascii="宋体" w:hAnsi="宋体" w:cs="仿宋_GB2312"/>
          <w:color w:val="auto"/>
          <w:kern w:val="0"/>
          <w:sz w:val="24"/>
          <w:highlight w:val="none"/>
          <w:u w:val="single"/>
          <w:lang w:val="zh-CN"/>
        </w:rPr>
        <w:t xml:space="preserve">                              </w:t>
      </w:r>
      <w:r>
        <w:rPr>
          <w:rFonts w:hint="eastAsia" w:ascii="宋体" w:hAnsi="宋体" w:cs="仿宋_GB2312"/>
          <w:color w:val="auto"/>
          <w:kern w:val="0"/>
          <w:sz w:val="24"/>
          <w:highlight w:val="none"/>
          <w:lang w:val="zh-CN"/>
        </w:rPr>
        <w:t xml:space="preserve">  邮政编码：</w:t>
      </w:r>
      <w:r>
        <w:rPr>
          <w:rFonts w:ascii="宋体" w:hAnsi="宋体" w:cs="仿宋_GB2312"/>
          <w:color w:val="auto"/>
          <w:kern w:val="0"/>
          <w:sz w:val="24"/>
          <w:highlight w:val="none"/>
          <w:u w:val="single"/>
          <w:lang w:val="zh-CN"/>
        </w:rPr>
        <w:t xml:space="preserve">                     </w:t>
      </w:r>
    </w:p>
    <w:p>
      <w:pPr>
        <w:autoSpaceDE w:val="0"/>
        <w:autoSpaceDN w:val="0"/>
        <w:adjustRightInd w:val="0"/>
        <w:spacing w:line="440" w:lineRule="exact"/>
        <w:rPr>
          <w:rFonts w:ascii="宋体" w:hAnsi="宋体"/>
          <w:color w:val="auto"/>
          <w:kern w:val="0"/>
          <w:sz w:val="24"/>
          <w:highlight w:val="none"/>
        </w:rPr>
      </w:pPr>
      <w:r>
        <w:rPr>
          <w:rFonts w:hint="eastAsia" w:ascii="宋体" w:hAnsi="宋体" w:cs="仿宋_GB2312"/>
          <w:color w:val="auto"/>
          <w:kern w:val="0"/>
          <w:sz w:val="24"/>
          <w:highlight w:val="none"/>
          <w:lang w:val="zh-CN"/>
        </w:rPr>
        <w:t>联系地址：</w:t>
      </w:r>
      <w:r>
        <w:rPr>
          <w:rFonts w:ascii="宋体" w:hAnsi="宋体" w:cs="仿宋_GB2312"/>
          <w:color w:val="auto"/>
          <w:kern w:val="0"/>
          <w:sz w:val="24"/>
          <w:highlight w:val="none"/>
          <w:u w:val="single"/>
          <w:lang w:val="zh-CN"/>
        </w:rPr>
        <w:t xml:space="preserve">                             </w:t>
      </w:r>
      <w:r>
        <w:rPr>
          <w:rFonts w:hint="eastAsia" w:ascii="宋体" w:hAnsi="宋体" w:cs="仿宋_GB2312"/>
          <w:color w:val="auto"/>
          <w:kern w:val="0"/>
          <w:sz w:val="24"/>
          <w:highlight w:val="none"/>
          <w:u w:val="single"/>
          <w:lang w:val="zh-CN"/>
        </w:rPr>
        <w:t xml:space="preserve">     </w:t>
      </w:r>
      <w:r>
        <w:rPr>
          <w:rFonts w:ascii="宋体" w:hAnsi="宋体" w:cs="仿宋_GB2312"/>
          <w:color w:val="auto"/>
          <w:kern w:val="0"/>
          <w:sz w:val="24"/>
          <w:highlight w:val="none"/>
          <w:u w:val="single"/>
          <w:lang w:val="zh-CN"/>
        </w:rPr>
        <w:t xml:space="preserve">                           </w:t>
      </w:r>
    </w:p>
    <w:p>
      <w:pPr>
        <w:autoSpaceDE w:val="0"/>
        <w:autoSpaceDN w:val="0"/>
        <w:adjustRightInd w:val="0"/>
        <w:spacing w:line="440" w:lineRule="exact"/>
        <w:rPr>
          <w:rFonts w:ascii="宋体" w:hAnsi="宋体"/>
          <w:color w:val="auto"/>
          <w:kern w:val="0"/>
          <w:sz w:val="24"/>
          <w:highlight w:val="none"/>
        </w:rPr>
      </w:pPr>
      <w:r>
        <w:rPr>
          <w:rFonts w:hint="eastAsia" w:ascii="宋体" w:hAnsi="宋体" w:cs="仿宋_GB2312"/>
          <w:color w:val="auto"/>
          <w:kern w:val="0"/>
          <w:sz w:val="24"/>
          <w:highlight w:val="none"/>
          <w:lang w:val="zh-CN"/>
        </w:rPr>
        <w:t>联系电话</w:t>
      </w:r>
      <w:r>
        <w:rPr>
          <w:rFonts w:ascii="宋体" w:hAnsi="宋体" w:cs="仿宋_GB2312"/>
          <w:color w:val="auto"/>
          <w:kern w:val="0"/>
          <w:sz w:val="24"/>
          <w:highlight w:val="none"/>
          <w:lang w:val="zh-CN"/>
        </w:rPr>
        <w:t xml:space="preserve">: </w:t>
      </w:r>
      <w:r>
        <w:rPr>
          <w:rFonts w:ascii="宋体" w:hAnsi="宋体" w:cs="仿宋_GB2312"/>
          <w:color w:val="auto"/>
          <w:kern w:val="0"/>
          <w:sz w:val="24"/>
          <w:highlight w:val="none"/>
          <w:u w:val="single"/>
          <w:lang w:val="zh-CN"/>
        </w:rPr>
        <w:t xml:space="preserve">                </w:t>
      </w:r>
      <w:r>
        <w:rPr>
          <w:rFonts w:hint="eastAsia" w:ascii="宋体" w:hAnsi="宋体" w:cs="仿宋_GB2312"/>
          <w:color w:val="auto"/>
          <w:kern w:val="0"/>
          <w:sz w:val="24"/>
          <w:highlight w:val="none"/>
          <w:lang w:val="zh-CN"/>
        </w:rPr>
        <w:t>传真号码：</w:t>
      </w:r>
      <w:r>
        <w:rPr>
          <w:rFonts w:ascii="宋体" w:hAnsi="宋体" w:cs="仿宋_GB2312"/>
          <w:color w:val="auto"/>
          <w:kern w:val="0"/>
          <w:sz w:val="24"/>
          <w:highlight w:val="none"/>
          <w:u w:val="single"/>
          <w:lang w:val="zh-CN"/>
        </w:rPr>
        <w:t xml:space="preserve">   </w:t>
      </w:r>
      <w:r>
        <w:rPr>
          <w:rFonts w:hint="eastAsia" w:ascii="宋体" w:hAnsi="宋体" w:cs="仿宋_GB2312"/>
          <w:color w:val="auto"/>
          <w:kern w:val="0"/>
          <w:sz w:val="24"/>
          <w:highlight w:val="none"/>
          <w:u w:val="single"/>
          <w:lang w:val="zh-CN"/>
        </w:rPr>
        <w:t xml:space="preserve">  </w:t>
      </w:r>
      <w:r>
        <w:rPr>
          <w:rFonts w:ascii="宋体" w:hAnsi="宋体" w:cs="仿宋_GB2312"/>
          <w:color w:val="auto"/>
          <w:kern w:val="0"/>
          <w:sz w:val="24"/>
          <w:highlight w:val="none"/>
          <w:u w:val="single"/>
          <w:lang w:val="zh-CN"/>
        </w:rPr>
        <w:t xml:space="preserve">          </w:t>
      </w:r>
    </w:p>
    <w:p>
      <w:pPr>
        <w:spacing w:line="440" w:lineRule="exact"/>
        <w:rPr>
          <w:rFonts w:ascii="宋体" w:hAnsi="宋体"/>
          <w:color w:val="auto"/>
          <w:sz w:val="24"/>
          <w:highlight w:val="none"/>
        </w:rPr>
      </w:pPr>
      <w:r>
        <w:rPr>
          <w:rFonts w:hint="eastAsia" w:ascii="宋体" w:hAnsi="宋体" w:cs="仿宋_GB2312"/>
          <w:color w:val="auto"/>
          <w:kern w:val="0"/>
          <w:sz w:val="24"/>
          <w:highlight w:val="none"/>
          <w:lang w:val="zh-CN"/>
        </w:rPr>
        <w:t>日</w:t>
      </w:r>
      <w:r>
        <w:rPr>
          <w:rFonts w:ascii="宋体" w:hAnsi="宋体" w:cs="仿宋_GB2312"/>
          <w:color w:val="auto"/>
          <w:kern w:val="0"/>
          <w:sz w:val="24"/>
          <w:highlight w:val="none"/>
        </w:rPr>
        <w:t xml:space="preserve">    </w:t>
      </w:r>
      <w:r>
        <w:rPr>
          <w:rFonts w:hint="eastAsia" w:ascii="宋体" w:hAnsi="宋体" w:cs="仿宋_GB2312"/>
          <w:color w:val="auto"/>
          <w:kern w:val="0"/>
          <w:sz w:val="24"/>
          <w:highlight w:val="none"/>
          <w:lang w:val="zh-CN"/>
        </w:rPr>
        <w:t>期</w:t>
      </w:r>
      <w:r>
        <w:rPr>
          <w:rFonts w:hint="eastAsia" w:ascii="宋体" w:hAnsi="宋体" w:cs="仿宋_GB2312"/>
          <w:color w:val="auto"/>
          <w:kern w:val="0"/>
          <w:sz w:val="24"/>
          <w:highlight w:val="none"/>
        </w:rPr>
        <w:t>：</w:t>
      </w:r>
      <w:r>
        <w:rPr>
          <w:rFonts w:ascii="宋体" w:hAnsi="宋体" w:cs="仿宋_GB2312"/>
          <w:color w:val="auto"/>
          <w:kern w:val="0"/>
          <w:sz w:val="24"/>
          <w:highlight w:val="none"/>
        </w:rPr>
        <w:t xml:space="preserve"> </w:t>
      </w:r>
      <w:r>
        <w:rPr>
          <w:rFonts w:ascii="宋体" w:hAnsi="宋体" w:cs="仿宋_GB2312"/>
          <w:color w:val="auto"/>
          <w:kern w:val="0"/>
          <w:sz w:val="24"/>
          <w:highlight w:val="none"/>
          <w:u w:val="single"/>
        </w:rPr>
        <w:t xml:space="preserve">       </w:t>
      </w:r>
      <w:r>
        <w:rPr>
          <w:rFonts w:hint="eastAsia" w:ascii="宋体" w:hAnsi="宋体" w:cs="仿宋_GB2312"/>
          <w:color w:val="auto"/>
          <w:kern w:val="0"/>
          <w:sz w:val="24"/>
          <w:highlight w:val="none"/>
          <w:lang w:val="zh-CN"/>
        </w:rPr>
        <w:t>年</w:t>
      </w:r>
      <w:r>
        <w:rPr>
          <w:rFonts w:ascii="宋体" w:hAnsi="宋体" w:cs="仿宋_GB2312"/>
          <w:color w:val="auto"/>
          <w:kern w:val="0"/>
          <w:sz w:val="24"/>
          <w:highlight w:val="none"/>
        </w:rPr>
        <w:t xml:space="preserve">  </w:t>
      </w:r>
      <w:r>
        <w:rPr>
          <w:rFonts w:ascii="宋体" w:hAnsi="宋体"/>
          <w:color w:val="auto"/>
          <w:kern w:val="0"/>
          <w:sz w:val="24"/>
          <w:highlight w:val="none"/>
          <w:u w:val="single"/>
        </w:rPr>
        <w:tab/>
      </w:r>
      <w:r>
        <w:rPr>
          <w:rFonts w:hint="eastAsia" w:ascii="宋体" w:hAnsi="宋体" w:cs="仿宋_GB2312"/>
          <w:color w:val="auto"/>
          <w:kern w:val="0"/>
          <w:sz w:val="24"/>
          <w:highlight w:val="none"/>
          <w:lang w:val="zh-CN"/>
        </w:rPr>
        <w:t>月</w:t>
      </w:r>
      <w:r>
        <w:rPr>
          <w:rFonts w:ascii="宋体" w:hAnsi="宋体" w:cs="仿宋_GB2312"/>
          <w:color w:val="auto"/>
          <w:kern w:val="0"/>
          <w:sz w:val="24"/>
          <w:highlight w:val="none"/>
        </w:rPr>
        <w:t xml:space="preserve"> </w:t>
      </w:r>
      <w:r>
        <w:rPr>
          <w:rFonts w:ascii="宋体" w:hAnsi="宋体"/>
          <w:color w:val="auto"/>
          <w:kern w:val="0"/>
          <w:sz w:val="24"/>
          <w:highlight w:val="none"/>
          <w:u w:val="single"/>
        </w:rPr>
        <w:tab/>
      </w:r>
      <w:r>
        <w:rPr>
          <w:rFonts w:ascii="宋体" w:hAnsi="宋体"/>
          <w:color w:val="auto"/>
          <w:kern w:val="0"/>
          <w:sz w:val="24"/>
          <w:highlight w:val="none"/>
          <w:u w:val="single"/>
        </w:rPr>
        <w:tab/>
      </w:r>
      <w:r>
        <w:rPr>
          <w:rFonts w:hint="eastAsia" w:ascii="宋体" w:hAnsi="宋体" w:cs="仿宋_GB2312"/>
          <w:color w:val="auto"/>
          <w:kern w:val="0"/>
          <w:sz w:val="24"/>
          <w:highlight w:val="none"/>
          <w:lang w:val="zh-CN"/>
        </w:rPr>
        <w:t>日</w:t>
      </w:r>
    </w:p>
    <w:p>
      <w:pPr>
        <w:autoSpaceDE w:val="0"/>
        <w:autoSpaceDN w:val="0"/>
        <w:adjustRightInd w:val="0"/>
        <w:spacing w:line="440" w:lineRule="exact"/>
        <w:jc w:val="center"/>
        <w:rPr>
          <w:rFonts w:ascii="宋体" w:hAnsi="宋体"/>
          <w:b/>
          <w:color w:val="auto"/>
          <w:sz w:val="32"/>
          <w:szCs w:val="32"/>
          <w:highlight w:val="none"/>
        </w:rPr>
      </w:pPr>
      <w:r>
        <w:rPr>
          <w:rFonts w:ascii="宋体" w:hAnsi="宋体"/>
          <w:b/>
          <w:color w:val="auto"/>
          <w:kern w:val="0"/>
          <w:sz w:val="24"/>
          <w:highlight w:val="none"/>
        </w:rPr>
        <w:br w:type="page"/>
      </w:r>
      <w:r>
        <w:rPr>
          <w:rFonts w:hint="eastAsia" w:ascii="宋体" w:hAnsi="宋体"/>
          <w:b/>
          <w:color w:val="auto"/>
          <w:sz w:val="32"/>
          <w:szCs w:val="32"/>
          <w:highlight w:val="none"/>
        </w:rPr>
        <w:t>二、</w:t>
      </w:r>
      <w:r>
        <w:rPr>
          <w:rFonts w:hint="eastAsia" w:ascii="宋体" w:hAnsi="宋体"/>
          <w:b/>
          <w:color w:val="auto"/>
          <w:sz w:val="32"/>
          <w:szCs w:val="32"/>
          <w:highlight w:val="none"/>
          <w:lang w:eastAsia="zh-CN"/>
        </w:rPr>
        <w:t>法定代表人</w:t>
      </w:r>
      <w:r>
        <w:rPr>
          <w:rFonts w:hint="eastAsia" w:ascii="宋体" w:hAnsi="宋体"/>
          <w:b/>
          <w:color w:val="auto"/>
          <w:sz w:val="32"/>
          <w:szCs w:val="32"/>
          <w:highlight w:val="none"/>
        </w:rPr>
        <w:t>授权委托书</w:t>
      </w:r>
    </w:p>
    <w:p>
      <w:pPr>
        <w:spacing w:line="440" w:lineRule="exact"/>
        <w:jc w:val="center"/>
        <w:rPr>
          <w:rFonts w:ascii="宋体" w:hAnsi="宋体"/>
          <w:b/>
          <w:color w:val="auto"/>
          <w:sz w:val="32"/>
          <w:szCs w:val="32"/>
          <w:highlight w:val="none"/>
        </w:rPr>
      </w:pPr>
    </w:p>
    <w:p>
      <w:pPr>
        <w:spacing w:line="440" w:lineRule="exact"/>
        <w:rPr>
          <w:rFonts w:ascii="宋体" w:hAnsi="宋体"/>
          <w:b/>
          <w:color w:val="auto"/>
          <w:sz w:val="24"/>
          <w:highlight w:val="none"/>
        </w:rPr>
      </w:pPr>
      <w:r>
        <w:rPr>
          <w:rFonts w:hint="eastAsia" w:ascii="宋体" w:hAnsi="宋体"/>
          <w:b/>
          <w:color w:val="auto"/>
          <w:sz w:val="24"/>
          <w:highlight w:val="none"/>
        </w:rPr>
        <w:t>杭州市公共资源交易中心余杭分中心：</w:t>
      </w:r>
    </w:p>
    <w:p>
      <w:pPr>
        <w:spacing w:line="440" w:lineRule="exact"/>
        <w:rPr>
          <w:rFonts w:ascii="宋体" w:hAnsi="宋体"/>
          <w:b/>
          <w:color w:val="auto"/>
          <w:sz w:val="24"/>
          <w:highlight w:val="none"/>
        </w:rPr>
      </w:pP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兹委派我公司</w:t>
      </w:r>
      <w:r>
        <w:rPr>
          <w:rFonts w:hint="eastAsia" w:ascii="宋体" w:hAnsi="宋体"/>
          <w:color w:val="auto"/>
          <w:sz w:val="24"/>
          <w:highlight w:val="none"/>
          <w:u w:val="single"/>
        </w:rPr>
        <w:t xml:space="preserve">                </w:t>
      </w:r>
      <w:r>
        <w:rPr>
          <w:rFonts w:hint="eastAsia" w:ascii="宋体" w:hAnsi="宋体"/>
          <w:color w:val="auto"/>
          <w:sz w:val="24"/>
          <w:highlight w:val="none"/>
        </w:rPr>
        <w:t>先生/女士（其在本公司的职务是：</w:t>
      </w:r>
      <w:r>
        <w:rPr>
          <w:rFonts w:hint="eastAsia" w:ascii="宋体" w:hAnsi="宋体"/>
          <w:color w:val="auto"/>
          <w:sz w:val="24"/>
          <w:highlight w:val="none"/>
          <w:u w:val="single"/>
        </w:rPr>
        <w:t xml:space="preserve">        </w:t>
      </w:r>
      <w:r>
        <w:rPr>
          <w:rFonts w:hint="eastAsia" w:ascii="宋体" w:hAnsi="宋体"/>
          <w:color w:val="auto"/>
          <w:sz w:val="24"/>
          <w:highlight w:val="none"/>
        </w:rPr>
        <w:t>，联系电话：</w:t>
      </w:r>
      <w:r>
        <w:rPr>
          <w:rFonts w:hint="eastAsia" w:ascii="宋体" w:hAnsi="宋体"/>
          <w:color w:val="auto"/>
          <w:sz w:val="24"/>
          <w:highlight w:val="none"/>
          <w:u w:val="single"/>
        </w:rPr>
        <w:t xml:space="preserve">         </w:t>
      </w:r>
      <w:r>
        <w:rPr>
          <w:rFonts w:hint="eastAsia" w:ascii="宋体" w:hAnsi="宋体"/>
          <w:color w:val="auto"/>
          <w:sz w:val="24"/>
          <w:highlight w:val="none"/>
        </w:rPr>
        <w:t>，手机：</w:t>
      </w:r>
      <w:r>
        <w:rPr>
          <w:rFonts w:hint="eastAsia" w:ascii="宋体" w:hAnsi="宋体"/>
          <w:color w:val="auto"/>
          <w:sz w:val="24"/>
          <w:highlight w:val="none"/>
          <w:u w:val="single"/>
        </w:rPr>
        <w:t xml:space="preserve">           </w:t>
      </w:r>
      <w:r>
        <w:rPr>
          <w:rFonts w:hint="eastAsia" w:ascii="宋体" w:hAnsi="宋体"/>
          <w:color w:val="auto"/>
          <w:sz w:val="24"/>
          <w:highlight w:val="none"/>
        </w:rPr>
        <w:t>，传真：</w:t>
      </w:r>
      <w:r>
        <w:rPr>
          <w:rFonts w:hint="eastAsia" w:ascii="宋体" w:hAnsi="宋体"/>
          <w:color w:val="auto"/>
          <w:sz w:val="24"/>
          <w:highlight w:val="none"/>
          <w:u w:val="single"/>
        </w:rPr>
        <w:t xml:space="preserve">           </w:t>
      </w:r>
      <w:r>
        <w:rPr>
          <w:rFonts w:hint="eastAsia" w:ascii="宋体" w:hAnsi="宋体"/>
          <w:color w:val="auto"/>
          <w:sz w:val="24"/>
          <w:highlight w:val="none"/>
        </w:rPr>
        <w:t>，身份证号：</w:t>
      </w:r>
      <w:r>
        <w:rPr>
          <w:rFonts w:hint="eastAsia" w:ascii="宋体" w:hAnsi="宋体"/>
          <w:color w:val="auto"/>
          <w:sz w:val="24"/>
          <w:highlight w:val="none"/>
          <w:u w:val="single"/>
        </w:rPr>
        <w:t xml:space="preserve">                </w:t>
      </w:r>
      <w:r>
        <w:rPr>
          <w:rFonts w:hint="eastAsia" w:ascii="宋体" w:hAnsi="宋体"/>
          <w:color w:val="auto"/>
          <w:sz w:val="24"/>
          <w:highlight w:val="none"/>
        </w:rPr>
        <w:t>）代表我公司全权处理</w:t>
      </w:r>
      <w:r>
        <w:rPr>
          <w:rFonts w:hint="eastAsia" w:ascii="宋体" w:hAnsi="宋体"/>
          <w:color w:val="auto"/>
          <w:sz w:val="24"/>
          <w:highlight w:val="none"/>
          <w:u w:val="single"/>
        </w:rPr>
        <w:t xml:space="preserve">                   </w:t>
      </w:r>
      <w:r>
        <w:rPr>
          <w:rFonts w:hint="eastAsia" w:ascii="宋体" w:hAnsi="宋体"/>
          <w:color w:val="auto"/>
          <w:sz w:val="24"/>
          <w:highlight w:val="none"/>
        </w:rPr>
        <w:t>项目（项目编号：HZYHZFCG-20  -   ）的一切事项，若成交则全权代表本公司签订合同，并负责处理合同履行等事宜。</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在撤销授权的书面通知以前，本授权书一直有效。授权代表在授权书有效期内签署的所有文件不因授权的撤销而失效。</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授权代表无转委托权，特此委托。</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特此告知。</w:t>
      </w:r>
    </w:p>
    <w:p>
      <w:pPr>
        <w:spacing w:line="440" w:lineRule="exact"/>
        <w:rPr>
          <w:rFonts w:ascii="宋体" w:hAnsi="宋体"/>
          <w:color w:val="auto"/>
          <w:sz w:val="24"/>
          <w:highlight w:val="none"/>
        </w:rPr>
      </w:pPr>
    </w:p>
    <w:p>
      <w:pPr>
        <w:spacing w:line="440" w:lineRule="exact"/>
        <w:rPr>
          <w:rFonts w:ascii="宋体" w:hAnsi="宋体"/>
          <w:color w:val="auto"/>
          <w:sz w:val="24"/>
          <w:highlight w:val="none"/>
        </w:rPr>
      </w:pPr>
      <w:r>
        <w:rPr>
          <w:rFonts w:hint="eastAsia" w:ascii="宋体" w:hAnsi="宋体"/>
          <w:color w:val="auto"/>
          <w:sz w:val="24"/>
          <w:highlight w:val="none"/>
        </w:rPr>
        <w:t xml:space="preserve">法定代表人（签字）：                     授权代表（签字）：           </w:t>
      </w:r>
    </w:p>
    <w:p>
      <w:pPr>
        <w:spacing w:line="440" w:lineRule="exact"/>
        <w:rPr>
          <w:rFonts w:ascii="宋体" w:hAnsi="宋体"/>
          <w:color w:val="auto"/>
          <w:sz w:val="24"/>
          <w:highlight w:val="none"/>
        </w:rPr>
      </w:pPr>
      <w:r>
        <w:rPr>
          <w:rFonts w:hint="eastAsia" w:ascii="宋体" w:hAnsi="宋体"/>
          <w:color w:val="auto"/>
          <w:sz w:val="24"/>
          <w:highlight w:val="none"/>
        </w:rPr>
        <w:t>职务：                                  职务：</w:t>
      </w:r>
    </w:p>
    <w:p>
      <w:pPr>
        <w:spacing w:line="440" w:lineRule="exact"/>
        <w:rPr>
          <w:rFonts w:ascii="宋体" w:hAnsi="宋体"/>
          <w:color w:val="auto"/>
          <w:sz w:val="24"/>
          <w:highlight w:val="none"/>
        </w:rPr>
      </w:pPr>
      <w:r>
        <w:rPr>
          <w:rFonts w:hint="eastAsia" w:ascii="宋体" w:hAnsi="宋体"/>
          <w:color w:val="auto"/>
          <w:sz w:val="24"/>
          <w:highlight w:val="none"/>
        </w:rPr>
        <w:t>身份证号码：                            身份证号码：</w:t>
      </w:r>
    </w:p>
    <w:p>
      <w:pPr>
        <w:spacing w:line="440" w:lineRule="exact"/>
        <w:rPr>
          <w:rFonts w:ascii="宋体" w:hAnsi="宋体"/>
          <w:color w:val="auto"/>
          <w:sz w:val="24"/>
          <w:highlight w:val="none"/>
        </w:rPr>
      </w:pPr>
      <w:r>
        <w:rPr>
          <w:rFonts w:hint="eastAsia" w:ascii="宋体" w:hAnsi="宋体"/>
          <w:color w:val="auto"/>
          <w:sz w:val="24"/>
          <w:highlight w:val="none"/>
        </w:rPr>
        <w:t xml:space="preserve">                               </w:t>
      </w:r>
    </w:p>
    <w:p>
      <w:pPr>
        <w:spacing w:line="440" w:lineRule="exact"/>
        <w:rPr>
          <w:rFonts w:ascii="宋体" w:hAnsi="宋体"/>
          <w:b/>
          <w:color w:val="auto"/>
          <w:sz w:val="24"/>
          <w:highlight w:val="none"/>
        </w:rPr>
      </w:pPr>
      <w:r>
        <w:rPr>
          <w:rFonts w:hint="eastAsia" w:ascii="宋体" w:hAnsi="宋体"/>
          <w:b/>
          <w:color w:val="auto"/>
          <w:sz w:val="24"/>
          <w:highlight w:val="none"/>
        </w:rPr>
        <w:t xml:space="preserve">  (法定代表人和授权代表的身份证正反面复印件、授权代表在本</w:t>
      </w:r>
      <w:r>
        <w:rPr>
          <w:rFonts w:hint="eastAsia" w:ascii="宋体" w:hAnsi="宋体"/>
          <w:b/>
          <w:color w:val="auto"/>
          <w:sz w:val="24"/>
          <w:highlight w:val="none"/>
          <w:lang w:eastAsia="zh-CN"/>
        </w:rPr>
        <w:t>单位近三个月（</w:t>
      </w:r>
      <w:r>
        <w:rPr>
          <w:rFonts w:hint="eastAsia" w:ascii="宋体" w:hAnsi="宋体"/>
          <w:b/>
          <w:color w:val="auto"/>
          <w:sz w:val="24"/>
          <w:highlight w:val="none"/>
          <w:lang w:val="en-US" w:eastAsia="zh-CN"/>
        </w:rPr>
        <w:t>2019年6</w:t>
      </w:r>
      <w:r>
        <w:rPr>
          <w:rFonts w:hint="eastAsia" w:ascii="宋体" w:hAnsi="宋体"/>
          <w:b/>
          <w:color w:val="auto"/>
          <w:sz w:val="24"/>
          <w:highlight w:val="none"/>
          <w:lang w:eastAsia="zh-CN"/>
        </w:rPr>
        <w:t>月、</w:t>
      </w:r>
      <w:r>
        <w:rPr>
          <w:rFonts w:hint="eastAsia" w:ascii="宋体" w:hAnsi="宋体"/>
          <w:b/>
          <w:color w:val="auto"/>
          <w:sz w:val="24"/>
          <w:highlight w:val="none"/>
          <w:lang w:val="en-US" w:eastAsia="zh-CN"/>
        </w:rPr>
        <w:t>7</w:t>
      </w:r>
      <w:r>
        <w:rPr>
          <w:rFonts w:hint="eastAsia" w:ascii="宋体" w:hAnsi="宋体"/>
          <w:b/>
          <w:color w:val="auto"/>
          <w:sz w:val="24"/>
          <w:highlight w:val="none"/>
          <w:lang w:eastAsia="zh-CN"/>
        </w:rPr>
        <w:t>月、</w:t>
      </w:r>
      <w:r>
        <w:rPr>
          <w:rFonts w:hint="eastAsia" w:ascii="宋体" w:hAnsi="宋体"/>
          <w:b/>
          <w:color w:val="auto"/>
          <w:sz w:val="24"/>
          <w:highlight w:val="none"/>
          <w:lang w:val="en-US" w:eastAsia="zh-CN"/>
        </w:rPr>
        <w:t>8</w:t>
      </w:r>
      <w:r>
        <w:rPr>
          <w:rFonts w:hint="eastAsia" w:ascii="宋体" w:hAnsi="宋体"/>
          <w:b/>
          <w:color w:val="auto"/>
          <w:sz w:val="24"/>
          <w:highlight w:val="none"/>
          <w:lang w:eastAsia="zh-CN"/>
        </w:rPr>
        <w:t>月）</w:t>
      </w:r>
      <w:r>
        <w:rPr>
          <w:rFonts w:hint="eastAsia" w:ascii="宋体" w:hAnsi="宋体"/>
          <w:b/>
          <w:color w:val="auto"/>
          <w:sz w:val="24"/>
          <w:highlight w:val="none"/>
        </w:rPr>
        <w:t>社保缴纳证明（加盖社保部门公章）附后)</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 xml:space="preserve">                                     </w:t>
      </w:r>
    </w:p>
    <w:p>
      <w:pPr>
        <w:spacing w:line="440" w:lineRule="exact"/>
        <w:ind w:firstLine="480" w:firstLineChars="200"/>
        <w:rPr>
          <w:rFonts w:ascii="宋体" w:hAnsi="宋体"/>
          <w:color w:val="auto"/>
          <w:sz w:val="24"/>
          <w:highlight w:val="none"/>
        </w:rPr>
      </w:pPr>
    </w:p>
    <w:p>
      <w:pPr>
        <w:wordWrap w:val="0"/>
        <w:autoSpaceDE w:val="0"/>
        <w:autoSpaceDN w:val="0"/>
        <w:adjustRightInd w:val="0"/>
        <w:spacing w:line="440" w:lineRule="exact"/>
        <w:ind w:right="480" w:firstLine="5040" w:firstLineChars="2100"/>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谈判响应方（公章）：     </w:t>
      </w:r>
    </w:p>
    <w:p>
      <w:pPr>
        <w:wordWrap w:val="0"/>
        <w:autoSpaceDE w:val="0"/>
        <w:autoSpaceDN w:val="0"/>
        <w:adjustRightInd w:val="0"/>
        <w:spacing w:line="440" w:lineRule="exact"/>
        <w:jc w:val="righ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w:t>
      </w:r>
      <w:r>
        <w:rPr>
          <w:rFonts w:hint="eastAsia" w:ascii="宋体" w:hAnsi="宋体"/>
          <w:color w:val="auto"/>
          <w:sz w:val="24"/>
          <w:highlight w:val="none"/>
        </w:rPr>
        <w:t>授权委托日期</w:t>
      </w:r>
      <w:r>
        <w:rPr>
          <w:rFonts w:hint="eastAsia" w:ascii="宋体" w:hAnsi="宋体" w:cs="仿宋_GB2312"/>
          <w:color w:val="auto"/>
          <w:kern w:val="0"/>
          <w:sz w:val="24"/>
          <w:highlight w:val="none"/>
          <w:lang w:val="zh-CN"/>
        </w:rPr>
        <w:t>：</w:t>
      </w:r>
      <w:r>
        <w:rPr>
          <w:rFonts w:ascii="宋体" w:hAnsi="宋体" w:cs="仿宋_GB2312"/>
          <w:color w:val="auto"/>
          <w:kern w:val="0"/>
          <w:sz w:val="24"/>
          <w:highlight w:val="none"/>
          <w:lang w:val="zh-CN"/>
        </w:rPr>
        <w:t>20</w:t>
      </w:r>
      <w:r>
        <w:rPr>
          <w:rFonts w:hint="eastAsia" w:ascii="宋体" w:hAnsi="宋体" w:cs="仿宋_GB2312"/>
          <w:color w:val="auto"/>
          <w:kern w:val="0"/>
          <w:sz w:val="24"/>
          <w:highlight w:val="none"/>
          <w:lang w:val="zh-CN"/>
        </w:rPr>
        <w:t xml:space="preserve">  年</w:t>
      </w:r>
      <w:r>
        <w:rPr>
          <w:rFonts w:ascii="宋体" w:hAnsi="宋体" w:cs="仿宋_GB2312"/>
          <w:color w:val="auto"/>
          <w:kern w:val="0"/>
          <w:sz w:val="24"/>
          <w:highlight w:val="none"/>
          <w:lang w:val="zh-CN"/>
        </w:rPr>
        <w:t xml:space="preserve">  </w:t>
      </w:r>
      <w:r>
        <w:rPr>
          <w:rFonts w:hint="eastAsia" w:ascii="宋体" w:hAnsi="宋体" w:cs="仿宋_GB2312"/>
          <w:color w:val="auto"/>
          <w:kern w:val="0"/>
          <w:sz w:val="24"/>
          <w:highlight w:val="none"/>
          <w:lang w:val="zh-CN"/>
        </w:rPr>
        <w:t>月</w:t>
      </w:r>
      <w:r>
        <w:rPr>
          <w:rFonts w:ascii="宋体" w:hAnsi="宋体" w:cs="仿宋_GB2312"/>
          <w:color w:val="auto"/>
          <w:kern w:val="0"/>
          <w:sz w:val="24"/>
          <w:highlight w:val="none"/>
          <w:lang w:val="zh-CN"/>
        </w:rPr>
        <w:t xml:space="preserve">   </w:t>
      </w:r>
      <w:r>
        <w:rPr>
          <w:rFonts w:hint="eastAsia" w:ascii="宋体" w:hAnsi="宋体" w:cs="仿宋_GB2312"/>
          <w:color w:val="auto"/>
          <w:kern w:val="0"/>
          <w:sz w:val="24"/>
          <w:highlight w:val="none"/>
          <w:lang w:val="zh-CN"/>
        </w:rPr>
        <w:t xml:space="preserve">日   </w:t>
      </w:r>
    </w:p>
    <w:p>
      <w:pPr>
        <w:autoSpaceDE w:val="0"/>
        <w:autoSpaceDN w:val="0"/>
        <w:adjustRightInd w:val="0"/>
        <w:spacing w:line="400" w:lineRule="atLeast"/>
        <w:jc w:val="center"/>
        <w:rPr>
          <w:b/>
          <w:color w:val="auto"/>
          <w:sz w:val="32"/>
          <w:szCs w:val="32"/>
          <w:highlight w:val="none"/>
        </w:rPr>
      </w:pPr>
      <w:r>
        <w:rPr>
          <w:rFonts w:hint="eastAsia" w:ascii="宋体" w:hAnsi="宋体" w:cs="仿宋_GB2312"/>
          <w:color w:val="auto"/>
          <w:kern w:val="0"/>
          <w:sz w:val="24"/>
          <w:highlight w:val="none"/>
          <w:lang w:val="zh-CN"/>
        </w:rPr>
        <w:br w:type="page"/>
      </w:r>
      <w:r>
        <w:rPr>
          <w:rFonts w:hint="eastAsia" w:ascii="宋体" w:hAnsi="宋体"/>
          <w:b/>
          <w:color w:val="auto"/>
          <w:sz w:val="32"/>
          <w:szCs w:val="32"/>
          <w:highlight w:val="none"/>
          <w:lang w:val="zh-CN"/>
        </w:rPr>
        <w:t>三、</w:t>
      </w:r>
      <w:r>
        <w:rPr>
          <w:rFonts w:hint="eastAsia" w:ascii="宋体" w:hAnsi="宋体"/>
          <w:b/>
          <w:color w:val="auto"/>
          <w:sz w:val="32"/>
          <w:szCs w:val="32"/>
          <w:highlight w:val="none"/>
        </w:rPr>
        <w:t>总公司（总机构）授权书</w:t>
      </w:r>
    </w:p>
    <w:p>
      <w:pPr>
        <w:spacing w:line="400" w:lineRule="atLeast"/>
        <w:jc w:val="center"/>
        <w:rPr>
          <w:b/>
          <w:color w:val="auto"/>
          <w:sz w:val="32"/>
          <w:szCs w:val="32"/>
          <w:highlight w:val="none"/>
        </w:rPr>
      </w:pPr>
      <w:r>
        <w:rPr>
          <w:b/>
          <w:color w:val="auto"/>
          <w:sz w:val="32"/>
          <w:szCs w:val="32"/>
          <w:highlight w:val="none"/>
        </w:rPr>
        <w:t xml:space="preserve"> </w:t>
      </w:r>
    </w:p>
    <w:p>
      <w:pPr>
        <w:spacing w:line="400" w:lineRule="atLeast"/>
        <w:rPr>
          <w:b/>
          <w:color w:val="auto"/>
          <w:sz w:val="24"/>
          <w:highlight w:val="none"/>
        </w:rPr>
      </w:pPr>
      <w:r>
        <w:rPr>
          <w:rFonts w:hint="eastAsia"/>
          <w:b/>
          <w:color w:val="auto"/>
          <w:sz w:val="24"/>
          <w:highlight w:val="none"/>
        </w:rPr>
        <w:t>杭州市公共资源交易中心余杭分中心</w:t>
      </w:r>
      <w:r>
        <w:rPr>
          <w:b/>
          <w:color w:val="auto"/>
          <w:sz w:val="24"/>
          <w:highlight w:val="none"/>
        </w:rPr>
        <w:t>：</w:t>
      </w:r>
    </w:p>
    <w:p>
      <w:pPr>
        <w:spacing w:line="400" w:lineRule="atLeast"/>
        <w:rPr>
          <w:b/>
          <w:color w:val="auto"/>
          <w:sz w:val="24"/>
          <w:highlight w:val="none"/>
        </w:rPr>
      </w:pPr>
      <w:r>
        <w:rPr>
          <w:b/>
          <w:color w:val="auto"/>
          <w:sz w:val="24"/>
          <w:highlight w:val="none"/>
        </w:rPr>
        <w:t xml:space="preserve"> </w:t>
      </w:r>
    </w:p>
    <w:p>
      <w:pPr>
        <w:spacing w:line="400" w:lineRule="atLeast"/>
        <w:ind w:firstLine="480" w:firstLineChars="200"/>
        <w:rPr>
          <w:color w:val="auto"/>
          <w:sz w:val="24"/>
          <w:highlight w:val="none"/>
          <w:u w:val="single"/>
        </w:rPr>
      </w:pPr>
      <w:r>
        <w:rPr>
          <w:color w:val="auto"/>
          <w:sz w:val="24"/>
          <w:highlight w:val="none"/>
          <w:u w:val="single"/>
        </w:rPr>
        <w:t xml:space="preserve">                    （区域性分支机构）</w:t>
      </w:r>
      <w:r>
        <w:rPr>
          <w:color w:val="auto"/>
          <w:sz w:val="24"/>
          <w:highlight w:val="none"/>
        </w:rPr>
        <w:t>具备实际承担责任的能力和法定的缔结合同的能力，因此我公司授权</w:t>
      </w:r>
      <w:r>
        <w:rPr>
          <w:color w:val="auto"/>
          <w:sz w:val="24"/>
          <w:highlight w:val="none"/>
          <w:u w:val="single"/>
        </w:rPr>
        <w:t xml:space="preserve">                              （区域性分支机构）</w:t>
      </w:r>
      <w:r>
        <w:rPr>
          <w:color w:val="auto"/>
          <w:sz w:val="24"/>
          <w:highlight w:val="none"/>
        </w:rPr>
        <w:t>参加</w:t>
      </w:r>
      <w:r>
        <w:rPr>
          <w:color w:val="auto"/>
          <w:sz w:val="24"/>
          <w:highlight w:val="none"/>
          <w:u w:val="single"/>
        </w:rPr>
        <w:t xml:space="preserve">           </w:t>
      </w:r>
      <w:r>
        <w:rPr>
          <w:color w:val="auto"/>
          <w:sz w:val="24"/>
          <w:highlight w:val="none"/>
        </w:rPr>
        <w:t>项目（项目编号</w:t>
      </w:r>
      <w:r>
        <w:rPr>
          <w:rFonts w:hint="eastAsia"/>
          <w:color w:val="auto"/>
          <w:sz w:val="24"/>
          <w:highlight w:val="none"/>
          <w:lang w:eastAsia="zh-CN"/>
        </w:rPr>
        <w:t>HZYHZFCG-2019-102</w:t>
      </w:r>
      <w:r>
        <w:rPr>
          <w:color w:val="auto"/>
          <w:sz w:val="24"/>
          <w:highlight w:val="none"/>
        </w:rPr>
        <w:t xml:space="preserve">   ）的投标，若中标则由</w:t>
      </w:r>
      <w:r>
        <w:rPr>
          <w:color w:val="auto"/>
          <w:sz w:val="24"/>
          <w:highlight w:val="none"/>
          <w:u w:val="single"/>
        </w:rPr>
        <w:t xml:space="preserve">                  （区域性分支机构）</w:t>
      </w:r>
      <w:r>
        <w:rPr>
          <w:color w:val="auto"/>
          <w:sz w:val="24"/>
          <w:highlight w:val="none"/>
        </w:rPr>
        <w:t>签订合同，并负责处理合同履行等事宜。且本公司就采购合同约定的事项对采购人承担连带责任。</w:t>
      </w:r>
    </w:p>
    <w:p>
      <w:pPr>
        <w:spacing w:line="400" w:lineRule="atLeast"/>
        <w:rPr>
          <w:color w:val="auto"/>
          <w:sz w:val="24"/>
          <w:highlight w:val="none"/>
        </w:rPr>
      </w:pPr>
      <w:r>
        <w:rPr>
          <w:color w:val="auto"/>
          <w:sz w:val="24"/>
          <w:highlight w:val="none"/>
        </w:rPr>
        <w:t xml:space="preserve"> </w:t>
      </w:r>
    </w:p>
    <w:p>
      <w:pPr>
        <w:spacing w:line="400" w:lineRule="atLeast"/>
        <w:rPr>
          <w:color w:val="auto"/>
          <w:sz w:val="24"/>
          <w:highlight w:val="none"/>
        </w:rPr>
      </w:pPr>
      <w:r>
        <w:rPr>
          <w:color w:val="auto"/>
          <w:sz w:val="24"/>
          <w:highlight w:val="none"/>
        </w:rPr>
        <w:t xml:space="preserve"> </w:t>
      </w:r>
    </w:p>
    <w:p>
      <w:pPr>
        <w:spacing w:line="400" w:lineRule="atLeast"/>
        <w:jc w:val="right"/>
        <w:rPr>
          <w:color w:val="auto"/>
          <w:sz w:val="24"/>
          <w:highlight w:val="none"/>
        </w:rPr>
      </w:pPr>
      <w:r>
        <w:rPr>
          <w:color w:val="auto"/>
          <w:sz w:val="24"/>
          <w:highlight w:val="none"/>
        </w:rPr>
        <w:t>授权单位：</w:t>
      </w:r>
    </w:p>
    <w:p>
      <w:pPr>
        <w:spacing w:line="400" w:lineRule="atLeast"/>
        <w:jc w:val="right"/>
        <w:rPr>
          <w:color w:val="auto"/>
          <w:sz w:val="24"/>
          <w:highlight w:val="none"/>
        </w:rPr>
      </w:pPr>
      <w:r>
        <w:rPr>
          <w:color w:val="auto"/>
          <w:sz w:val="24"/>
          <w:highlight w:val="none"/>
        </w:rPr>
        <w:t>授权单位盖章：</w:t>
      </w:r>
    </w:p>
    <w:p>
      <w:pPr>
        <w:spacing w:line="400" w:lineRule="atLeast"/>
        <w:jc w:val="right"/>
        <w:rPr>
          <w:color w:val="auto"/>
          <w:sz w:val="24"/>
          <w:highlight w:val="none"/>
        </w:rPr>
      </w:pPr>
      <w:r>
        <w:rPr>
          <w:color w:val="auto"/>
          <w:sz w:val="24"/>
          <w:highlight w:val="none"/>
        </w:rPr>
        <w:t xml:space="preserve"> </w:t>
      </w:r>
    </w:p>
    <w:p>
      <w:pPr>
        <w:spacing w:line="400" w:lineRule="atLeast"/>
        <w:jc w:val="right"/>
        <w:rPr>
          <w:color w:val="auto"/>
          <w:sz w:val="24"/>
          <w:highlight w:val="none"/>
        </w:rPr>
      </w:pPr>
      <w:r>
        <w:rPr>
          <w:color w:val="auto"/>
          <w:sz w:val="24"/>
          <w:highlight w:val="none"/>
        </w:rPr>
        <w:t xml:space="preserve"> </w:t>
      </w:r>
    </w:p>
    <w:p>
      <w:pPr>
        <w:spacing w:line="400" w:lineRule="atLeast"/>
        <w:jc w:val="right"/>
        <w:rPr>
          <w:color w:val="auto"/>
          <w:sz w:val="24"/>
          <w:highlight w:val="none"/>
        </w:rPr>
      </w:pPr>
      <w:r>
        <w:rPr>
          <w:color w:val="auto"/>
          <w:sz w:val="24"/>
          <w:highlight w:val="none"/>
        </w:rPr>
        <w:t xml:space="preserve">授权单位法定代表人（签字）：                              </w:t>
      </w:r>
    </w:p>
    <w:p>
      <w:pPr>
        <w:spacing w:line="400" w:lineRule="atLeast"/>
        <w:jc w:val="right"/>
        <w:rPr>
          <w:color w:val="auto"/>
          <w:sz w:val="24"/>
          <w:highlight w:val="none"/>
        </w:rPr>
      </w:pPr>
      <w:r>
        <w:rPr>
          <w:color w:val="auto"/>
          <w:sz w:val="24"/>
          <w:highlight w:val="none"/>
        </w:rPr>
        <w:t xml:space="preserve">                                                 </w:t>
      </w:r>
    </w:p>
    <w:p>
      <w:pPr>
        <w:spacing w:line="400" w:lineRule="atLeast"/>
        <w:jc w:val="right"/>
        <w:rPr>
          <w:color w:val="auto"/>
          <w:sz w:val="24"/>
          <w:highlight w:val="none"/>
        </w:rPr>
      </w:pPr>
      <w:r>
        <w:rPr>
          <w:color w:val="auto"/>
          <w:sz w:val="24"/>
          <w:highlight w:val="none"/>
        </w:rPr>
        <w:t>日期：    年  月  日</w:t>
      </w:r>
    </w:p>
    <w:p>
      <w:pPr>
        <w:spacing w:line="240" w:lineRule="atLeast"/>
        <w:jc w:val="center"/>
        <w:rPr>
          <w:rFonts w:ascii="宋体" w:hAnsi="宋体"/>
          <w:b/>
          <w:color w:val="auto"/>
          <w:spacing w:val="-6"/>
          <w:sz w:val="32"/>
          <w:szCs w:val="32"/>
          <w:highlight w:val="none"/>
        </w:rPr>
      </w:pPr>
      <w:r>
        <w:rPr>
          <w:color w:val="auto"/>
          <w:sz w:val="24"/>
          <w:highlight w:val="none"/>
        </w:rPr>
        <w:br w:type="page"/>
      </w:r>
      <w:r>
        <w:rPr>
          <w:rFonts w:hint="eastAsia" w:ascii="宋体" w:hAnsi="宋体"/>
          <w:b/>
          <w:color w:val="auto"/>
          <w:sz w:val="32"/>
          <w:szCs w:val="32"/>
          <w:highlight w:val="none"/>
          <w:lang w:val="zh-CN"/>
        </w:rPr>
        <w:t>四、无失信行为承诺书</w:t>
      </w:r>
    </w:p>
    <w:p>
      <w:pPr>
        <w:spacing w:line="240" w:lineRule="atLeast"/>
        <w:ind w:firstLine="2156" w:firstLineChars="700"/>
        <w:rPr>
          <w:rFonts w:ascii="宋体" w:hAnsi="宋体"/>
          <w:color w:val="auto"/>
          <w:spacing w:val="-6"/>
          <w:sz w:val="32"/>
          <w:szCs w:val="32"/>
          <w:highlight w:val="none"/>
        </w:rPr>
      </w:pPr>
    </w:p>
    <w:p>
      <w:pPr>
        <w:spacing w:line="440" w:lineRule="exact"/>
        <w:rPr>
          <w:rFonts w:ascii="宋体" w:hAnsi="宋体" w:cs="仿宋_GB2312"/>
          <w:b/>
          <w:color w:val="auto"/>
          <w:kern w:val="0"/>
          <w:sz w:val="28"/>
          <w:szCs w:val="28"/>
          <w:highlight w:val="none"/>
          <w:lang w:val="zh-CN"/>
        </w:rPr>
      </w:pPr>
      <w:r>
        <w:rPr>
          <w:rFonts w:hint="eastAsia" w:ascii="宋体" w:hAnsi="宋体" w:cs="仿宋_GB2312"/>
          <w:b/>
          <w:color w:val="auto"/>
          <w:kern w:val="0"/>
          <w:sz w:val="28"/>
          <w:szCs w:val="28"/>
          <w:highlight w:val="none"/>
          <w:lang w:val="zh-CN"/>
        </w:rPr>
        <w:t>杭州市公共资源交易中心余杭分中心：</w:t>
      </w:r>
    </w:p>
    <w:p>
      <w:pPr>
        <w:spacing w:line="440" w:lineRule="exact"/>
        <w:rPr>
          <w:rFonts w:ascii="宋体" w:hAnsi="宋体" w:cs="仿宋_GB2312"/>
          <w:color w:val="auto"/>
          <w:kern w:val="0"/>
          <w:sz w:val="24"/>
          <w:highlight w:val="none"/>
          <w:lang w:val="zh-CN"/>
        </w:rPr>
      </w:pPr>
    </w:p>
    <w:p>
      <w:pPr>
        <w:spacing w:line="240" w:lineRule="atLeast"/>
        <w:ind w:firstLine="585"/>
        <w:rPr>
          <w:rFonts w:ascii="宋体" w:hAnsi="宋体"/>
          <w:color w:val="auto"/>
          <w:spacing w:val="-6"/>
          <w:sz w:val="28"/>
          <w:szCs w:val="28"/>
          <w:highlight w:val="none"/>
        </w:rPr>
      </w:pPr>
      <w:r>
        <w:rPr>
          <w:rFonts w:hint="eastAsia" w:ascii="宋体" w:hAnsi="宋体"/>
          <w:color w:val="auto"/>
          <w:spacing w:val="-6"/>
          <w:sz w:val="28"/>
          <w:szCs w:val="28"/>
          <w:highlight w:val="none"/>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等有关处理，给采购人造成损失的，依法承担赔偿责任，并愿意承担相关法律责任。</w:t>
      </w:r>
    </w:p>
    <w:p>
      <w:pPr>
        <w:spacing w:line="240" w:lineRule="atLeast"/>
        <w:ind w:firstLine="585"/>
        <w:rPr>
          <w:rFonts w:ascii="宋体" w:hAnsi="宋体"/>
          <w:color w:val="auto"/>
          <w:spacing w:val="-6"/>
          <w:sz w:val="32"/>
          <w:szCs w:val="32"/>
          <w:highlight w:val="none"/>
        </w:rPr>
      </w:pPr>
    </w:p>
    <w:p>
      <w:pPr>
        <w:wordWrap w:val="0"/>
        <w:autoSpaceDE w:val="0"/>
        <w:autoSpaceDN w:val="0"/>
        <w:adjustRightInd w:val="0"/>
        <w:spacing w:line="440" w:lineRule="exact"/>
        <w:jc w:val="right"/>
        <w:rPr>
          <w:rFonts w:ascii="宋体" w:hAnsi="宋体" w:cs="仿宋_GB2312"/>
          <w:color w:val="auto"/>
          <w:kern w:val="0"/>
          <w:sz w:val="24"/>
          <w:highlight w:val="none"/>
          <w:lang w:val="zh-CN"/>
        </w:rPr>
      </w:pPr>
      <w:r>
        <w:rPr>
          <w:rFonts w:hint="eastAsia" w:ascii="宋体" w:hAnsi="宋体" w:cs="宋体"/>
          <w:color w:val="auto"/>
          <w:kern w:val="0"/>
          <w:sz w:val="24"/>
          <w:highlight w:val="none"/>
          <w:lang w:val="zh-CN"/>
        </w:rPr>
        <w:t>法定代表人或授权代表（签字）</w:t>
      </w:r>
      <w:r>
        <w:rPr>
          <w:rFonts w:hint="eastAsia" w:ascii="宋体" w:hAnsi="宋体" w:cs="仿宋_GB2312"/>
          <w:color w:val="auto"/>
          <w:kern w:val="0"/>
          <w:sz w:val="24"/>
          <w:highlight w:val="none"/>
          <w:lang w:val="zh-CN"/>
        </w:rPr>
        <w:t>：</w:t>
      </w:r>
    </w:p>
    <w:p>
      <w:pPr>
        <w:autoSpaceDE w:val="0"/>
        <w:autoSpaceDN w:val="0"/>
        <w:adjustRightInd w:val="0"/>
        <w:spacing w:line="440" w:lineRule="exact"/>
        <w:jc w:val="righ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供应商（公章）： </w:t>
      </w:r>
    </w:p>
    <w:p>
      <w:pPr>
        <w:wordWrap w:val="0"/>
        <w:autoSpaceDE w:val="0"/>
        <w:autoSpaceDN w:val="0"/>
        <w:adjustRightInd w:val="0"/>
        <w:spacing w:line="440" w:lineRule="exact"/>
        <w:jc w:val="righ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w:t>
      </w:r>
    </w:p>
    <w:p>
      <w:pPr>
        <w:autoSpaceDE w:val="0"/>
        <w:autoSpaceDN w:val="0"/>
        <w:adjustRightInd w:val="0"/>
        <w:spacing w:line="440" w:lineRule="exact"/>
        <w:jc w:val="center"/>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日期：20  年  月   日  </w:t>
      </w:r>
    </w:p>
    <w:p>
      <w:pPr>
        <w:rPr>
          <w:rFonts w:ascii="宋体" w:hAnsi="宋体"/>
          <w:color w:val="auto"/>
          <w:highlight w:val="none"/>
        </w:rPr>
      </w:pPr>
    </w:p>
    <w:p>
      <w:pPr>
        <w:spacing w:line="400" w:lineRule="atLeast"/>
        <w:jc w:val="right"/>
        <w:rPr>
          <w:color w:val="auto"/>
          <w:sz w:val="24"/>
          <w:highlight w:val="none"/>
        </w:rPr>
      </w:pPr>
    </w:p>
    <w:p>
      <w:pPr>
        <w:spacing w:line="400" w:lineRule="atLeast"/>
        <w:rPr>
          <w:color w:val="auto"/>
          <w:szCs w:val="21"/>
          <w:highlight w:val="none"/>
        </w:rPr>
      </w:pPr>
      <w:r>
        <w:rPr>
          <w:color w:val="auto"/>
          <w:sz w:val="24"/>
          <w:highlight w:val="none"/>
        </w:rPr>
        <w:t xml:space="preserve">    </w:t>
      </w:r>
    </w:p>
    <w:p>
      <w:pPr>
        <w:spacing w:line="400" w:lineRule="atLeast"/>
        <w:rPr>
          <w:color w:val="auto"/>
          <w:szCs w:val="21"/>
          <w:highlight w:val="none"/>
        </w:rPr>
      </w:pPr>
      <w:r>
        <w:rPr>
          <w:color w:val="auto"/>
          <w:szCs w:val="21"/>
          <w:highlight w:val="none"/>
        </w:rPr>
        <w:t xml:space="preserve"> </w:t>
      </w:r>
    </w:p>
    <w:p>
      <w:pPr>
        <w:wordWrap w:val="0"/>
        <w:autoSpaceDE w:val="0"/>
        <w:autoSpaceDN w:val="0"/>
        <w:adjustRightInd w:val="0"/>
        <w:spacing w:line="440" w:lineRule="exact"/>
        <w:jc w:val="right"/>
        <w:rPr>
          <w:rFonts w:ascii="宋体" w:hAnsi="宋体"/>
          <w:b/>
          <w:color w:val="auto"/>
          <w:kern w:val="0"/>
          <w:sz w:val="24"/>
          <w:highlight w:val="none"/>
        </w:rPr>
        <w:sectPr>
          <w:headerReference r:id="rId4" w:type="default"/>
          <w:footerReference r:id="rId6" w:type="default"/>
          <w:headerReference r:id="rId5" w:type="even"/>
          <w:footerReference r:id="rId7" w:type="even"/>
          <w:pgSz w:w="11906" w:h="16838"/>
          <w:pgMar w:top="1531" w:right="1361" w:bottom="1531" w:left="1304" w:header="851" w:footer="601" w:gutter="0"/>
          <w:pgNumType w:fmt="numberInDash"/>
          <w:cols w:space="720" w:num="1"/>
          <w:docGrid w:type="lines" w:linePitch="312" w:charSpace="0"/>
        </w:sectPr>
      </w:pPr>
      <w:r>
        <w:rPr>
          <w:rFonts w:hint="eastAsia" w:ascii="宋体" w:hAnsi="宋体" w:cs="仿宋_GB2312"/>
          <w:color w:val="auto"/>
          <w:kern w:val="0"/>
          <w:sz w:val="24"/>
          <w:highlight w:val="none"/>
          <w:lang w:val="zh-CN"/>
        </w:rPr>
        <w:t xml:space="preserve">   </w:t>
      </w:r>
    </w:p>
    <w:p>
      <w:pPr>
        <w:spacing w:line="440" w:lineRule="exact"/>
        <w:jc w:val="center"/>
        <w:rPr>
          <w:rFonts w:ascii="宋体" w:hAnsi="宋体" w:cs="宋体"/>
          <w:b/>
          <w:color w:val="auto"/>
          <w:kern w:val="0"/>
          <w:sz w:val="32"/>
          <w:szCs w:val="32"/>
          <w:highlight w:val="none"/>
        </w:rPr>
      </w:pPr>
      <w:bookmarkStart w:id="25" w:name="_Toc328381297"/>
      <w:bookmarkStart w:id="26" w:name="_Toc367698159"/>
      <w:bookmarkStart w:id="27" w:name="_Toc303256686"/>
      <w:bookmarkStart w:id="28" w:name="_Toc350409932"/>
      <w:bookmarkStart w:id="29" w:name="_Toc350410023"/>
      <w:r>
        <w:rPr>
          <w:rFonts w:hint="eastAsia" w:ascii="宋体" w:hAnsi="宋体" w:cs="宋体"/>
          <w:b/>
          <w:color w:val="auto"/>
          <w:kern w:val="0"/>
          <w:sz w:val="32"/>
          <w:szCs w:val="32"/>
          <w:highlight w:val="none"/>
        </w:rPr>
        <w:t>五、初次报价表</w:t>
      </w:r>
      <w:bookmarkEnd w:id="25"/>
      <w:bookmarkEnd w:id="26"/>
      <w:bookmarkEnd w:id="27"/>
      <w:bookmarkEnd w:id="28"/>
      <w:bookmarkEnd w:id="29"/>
    </w:p>
    <w:p>
      <w:pPr>
        <w:autoSpaceDE w:val="0"/>
        <w:autoSpaceDN w:val="0"/>
        <w:adjustRightInd w:val="0"/>
        <w:spacing w:line="440" w:lineRule="exact"/>
        <w:rPr>
          <w:rFonts w:ascii="宋体" w:hAnsi="宋体"/>
          <w:b/>
          <w:color w:val="auto"/>
          <w:kern w:val="0"/>
          <w:sz w:val="24"/>
          <w:highlight w:val="none"/>
        </w:rPr>
      </w:pPr>
      <w:r>
        <w:rPr>
          <w:rFonts w:hint="eastAsia" w:ascii="宋体" w:hAnsi="宋体"/>
          <w:b/>
          <w:color w:val="auto"/>
          <w:kern w:val="0"/>
          <w:sz w:val="24"/>
          <w:highlight w:val="none"/>
        </w:rPr>
        <w:t>项目编号：</w:t>
      </w:r>
      <w:r>
        <w:rPr>
          <w:rFonts w:hint="eastAsia" w:ascii="宋体" w:hAnsi="宋体"/>
          <w:b/>
          <w:color w:val="auto"/>
          <w:kern w:val="0"/>
          <w:sz w:val="24"/>
          <w:highlight w:val="none"/>
          <w:lang w:eastAsia="zh-CN"/>
        </w:rPr>
        <w:t>HZYHZFCG-2019-102</w:t>
      </w:r>
      <w:r>
        <w:rPr>
          <w:rFonts w:hint="eastAsia" w:ascii="宋体" w:hAnsi="宋体"/>
          <w:b/>
          <w:color w:val="auto"/>
          <w:kern w:val="0"/>
          <w:sz w:val="24"/>
          <w:highlight w:val="none"/>
        </w:rPr>
        <w:t xml:space="preserve">                                                                               单位：元</w:t>
      </w:r>
    </w:p>
    <w:tbl>
      <w:tblPr>
        <w:tblStyle w:val="31"/>
        <w:tblpPr w:leftFromText="180" w:rightFromText="180" w:vertAnchor="text" w:tblpXSpec="left" w:tblpY="121"/>
        <w:tblW w:w="13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08"/>
        <w:gridCol w:w="4743"/>
        <w:gridCol w:w="1560"/>
        <w:gridCol w:w="992"/>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28"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序号</w:t>
            </w:r>
          </w:p>
        </w:tc>
        <w:tc>
          <w:tcPr>
            <w:tcW w:w="1908"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名称</w:t>
            </w:r>
          </w:p>
        </w:tc>
        <w:tc>
          <w:tcPr>
            <w:tcW w:w="4743"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规格及型号及参数</w:t>
            </w:r>
          </w:p>
        </w:tc>
        <w:tc>
          <w:tcPr>
            <w:tcW w:w="1560"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数量</w:t>
            </w:r>
          </w:p>
        </w:tc>
        <w:tc>
          <w:tcPr>
            <w:tcW w:w="992"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单位</w:t>
            </w:r>
          </w:p>
        </w:tc>
        <w:tc>
          <w:tcPr>
            <w:tcW w:w="1417"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总价</w:t>
            </w:r>
          </w:p>
        </w:tc>
        <w:tc>
          <w:tcPr>
            <w:tcW w:w="1560"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28" w:type="dxa"/>
            <w:vAlign w:val="center"/>
          </w:tcPr>
          <w:p>
            <w:pPr>
              <w:jc w:val="center"/>
              <w:rPr>
                <w:rFonts w:ascii="宋体" w:hAnsi="宋体"/>
                <w:color w:val="auto"/>
                <w:sz w:val="28"/>
                <w:szCs w:val="28"/>
                <w:highlight w:val="none"/>
              </w:rPr>
            </w:pPr>
            <w:r>
              <w:rPr>
                <w:rFonts w:hint="eastAsia" w:ascii="宋体" w:hAnsi="宋体"/>
                <w:color w:val="auto"/>
                <w:sz w:val="28"/>
                <w:szCs w:val="28"/>
                <w:highlight w:val="none"/>
              </w:rPr>
              <w:t>1</w:t>
            </w:r>
          </w:p>
        </w:tc>
        <w:tc>
          <w:tcPr>
            <w:tcW w:w="1908" w:type="dxa"/>
            <w:vAlign w:val="center"/>
          </w:tcPr>
          <w:p>
            <w:pPr>
              <w:jc w:val="center"/>
              <w:rPr>
                <w:rFonts w:ascii="宋体" w:hAnsi="宋体"/>
                <w:color w:val="auto"/>
                <w:sz w:val="28"/>
                <w:szCs w:val="28"/>
                <w:highlight w:val="none"/>
              </w:rPr>
            </w:pPr>
          </w:p>
        </w:tc>
        <w:tc>
          <w:tcPr>
            <w:tcW w:w="4743" w:type="dxa"/>
            <w:vAlign w:val="center"/>
          </w:tcPr>
          <w:p>
            <w:pPr>
              <w:jc w:val="center"/>
              <w:rPr>
                <w:rFonts w:ascii="宋体" w:hAnsi="宋体"/>
                <w:color w:val="auto"/>
                <w:sz w:val="28"/>
                <w:szCs w:val="28"/>
                <w:highlight w:val="none"/>
              </w:rPr>
            </w:pPr>
          </w:p>
        </w:tc>
        <w:tc>
          <w:tcPr>
            <w:tcW w:w="1560" w:type="dxa"/>
            <w:vAlign w:val="center"/>
          </w:tcPr>
          <w:p>
            <w:pPr>
              <w:jc w:val="center"/>
              <w:rPr>
                <w:rFonts w:ascii="宋体" w:hAnsi="宋体"/>
                <w:color w:val="auto"/>
                <w:sz w:val="28"/>
                <w:szCs w:val="28"/>
                <w:highlight w:val="none"/>
              </w:rPr>
            </w:pPr>
          </w:p>
        </w:tc>
        <w:tc>
          <w:tcPr>
            <w:tcW w:w="992" w:type="dxa"/>
            <w:vAlign w:val="center"/>
          </w:tcPr>
          <w:p>
            <w:pPr>
              <w:jc w:val="center"/>
              <w:rPr>
                <w:rFonts w:ascii="宋体" w:hAnsi="宋体"/>
                <w:color w:val="auto"/>
                <w:sz w:val="28"/>
                <w:szCs w:val="28"/>
                <w:highlight w:val="none"/>
              </w:rPr>
            </w:pPr>
          </w:p>
        </w:tc>
        <w:tc>
          <w:tcPr>
            <w:tcW w:w="1417" w:type="dxa"/>
            <w:vAlign w:val="center"/>
          </w:tcPr>
          <w:p>
            <w:pPr>
              <w:jc w:val="center"/>
              <w:rPr>
                <w:rFonts w:ascii="宋体" w:hAnsi="宋体"/>
                <w:color w:val="auto"/>
                <w:sz w:val="28"/>
                <w:szCs w:val="28"/>
                <w:highlight w:val="none"/>
              </w:rPr>
            </w:pPr>
          </w:p>
        </w:tc>
        <w:tc>
          <w:tcPr>
            <w:tcW w:w="1560" w:type="dxa"/>
            <w:vAlign w:val="center"/>
          </w:tcPr>
          <w:p>
            <w:pPr>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28" w:type="dxa"/>
            <w:vAlign w:val="center"/>
          </w:tcPr>
          <w:p>
            <w:pPr>
              <w:jc w:val="center"/>
              <w:rPr>
                <w:rFonts w:ascii="宋体" w:hAnsi="宋体"/>
                <w:color w:val="auto"/>
                <w:sz w:val="28"/>
                <w:szCs w:val="28"/>
                <w:highlight w:val="none"/>
              </w:rPr>
            </w:pPr>
            <w:r>
              <w:rPr>
                <w:rFonts w:hint="eastAsia" w:ascii="宋体" w:hAnsi="宋体"/>
                <w:color w:val="auto"/>
                <w:sz w:val="28"/>
                <w:szCs w:val="28"/>
                <w:highlight w:val="none"/>
              </w:rPr>
              <w:t>2</w:t>
            </w:r>
          </w:p>
        </w:tc>
        <w:tc>
          <w:tcPr>
            <w:tcW w:w="1908" w:type="dxa"/>
            <w:vAlign w:val="center"/>
          </w:tcPr>
          <w:p>
            <w:pPr>
              <w:jc w:val="center"/>
              <w:rPr>
                <w:rFonts w:ascii="宋体" w:hAnsi="宋体"/>
                <w:color w:val="auto"/>
                <w:sz w:val="28"/>
                <w:szCs w:val="28"/>
                <w:highlight w:val="none"/>
              </w:rPr>
            </w:pPr>
          </w:p>
        </w:tc>
        <w:tc>
          <w:tcPr>
            <w:tcW w:w="4743" w:type="dxa"/>
            <w:vAlign w:val="center"/>
          </w:tcPr>
          <w:p>
            <w:pPr>
              <w:jc w:val="center"/>
              <w:rPr>
                <w:rFonts w:ascii="宋体" w:hAnsi="宋体"/>
                <w:color w:val="auto"/>
                <w:sz w:val="28"/>
                <w:szCs w:val="28"/>
                <w:highlight w:val="none"/>
              </w:rPr>
            </w:pPr>
          </w:p>
        </w:tc>
        <w:tc>
          <w:tcPr>
            <w:tcW w:w="1560" w:type="dxa"/>
            <w:vAlign w:val="center"/>
          </w:tcPr>
          <w:p>
            <w:pPr>
              <w:jc w:val="center"/>
              <w:rPr>
                <w:rFonts w:ascii="宋体" w:hAnsi="宋体"/>
                <w:color w:val="auto"/>
                <w:sz w:val="28"/>
                <w:szCs w:val="28"/>
                <w:highlight w:val="none"/>
              </w:rPr>
            </w:pPr>
          </w:p>
        </w:tc>
        <w:tc>
          <w:tcPr>
            <w:tcW w:w="992" w:type="dxa"/>
            <w:vAlign w:val="center"/>
          </w:tcPr>
          <w:p>
            <w:pPr>
              <w:jc w:val="center"/>
              <w:rPr>
                <w:rFonts w:ascii="宋体" w:hAnsi="宋体"/>
                <w:color w:val="auto"/>
                <w:sz w:val="28"/>
                <w:szCs w:val="28"/>
                <w:highlight w:val="none"/>
              </w:rPr>
            </w:pPr>
          </w:p>
        </w:tc>
        <w:tc>
          <w:tcPr>
            <w:tcW w:w="1417" w:type="dxa"/>
            <w:vAlign w:val="center"/>
          </w:tcPr>
          <w:p>
            <w:pPr>
              <w:jc w:val="center"/>
              <w:rPr>
                <w:rFonts w:ascii="宋体" w:hAnsi="宋体"/>
                <w:color w:val="auto"/>
                <w:sz w:val="28"/>
                <w:szCs w:val="28"/>
                <w:highlight w:val="none"/>
              </w:rPr>
            </w:pPr>
          </w:p>
        </w:tc>
        <w:tc>
          <w:tcPr>
            <w:tcW w:w="1560" w:type="dxa"/>
            <w:vAlign w:val="center"/>
          </w:tcPr>
          <w:p>
            <w:pPr>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28" w:type="dxa"/>
            <w:vAlign w:val="center"/>
          </w:tcPr>
          <w:p>
            <w:pPr>
              <w:jc w:val="center"/>
              <w:rPr>
                <w:rFonts w:ascii="宋体" w:hAnsi="宋体"/>
                <w:color w:val="auto"/>
                <w:sz w:val="28"/>
                <w:szCs w:val="28"/>
                <w:highlight w:val="none"/>
              </w:rPr>
            </w:pPr>
            <w:r>
              <w:rPr>
                <w:rFonts w:hint="eastAsia" w:ascii="宋体" w:hAnsi="宋体"/>
                <w:color w:val="auto"/>
                <w:sz w:val="28"/>
                <w:szCs w:val="28"/>
                <w:highlight w:val="none"/>
              </w:rPr>
              <w:t>3</w:t>
            </w:r>
          </w:p>
        </w:tc>
        <w:tc>
          <w:tcPr>
            <w:tcW w:w="1908" w:type="dxa"/>
            <w:vAlign w:val="center"/>
          </w:tcPr>
          <w:p>
            <w:pPr>
              <w:jc w:val="center"/>
              <w:rPr>
                <w:rFonts w:ascii="宋体" w:hAnsi="宋体"/>
                <w:color w:val="auto"/>
                <w:sz w:val="28"/>
                <w:szCs w:val="28"/>
                <w:highlight w:val="none"/>
              </w:rPr>
            </w:pPr>
          </w:p>
        </w:tc>
        <w:tc>
          <w:tcPr>
            <w:tcW w:w="4743" w:type="dxa"/>
            <w:vAlign w:val="center"/>
          </w:tcPr>
          <w:p>
            <w:pPr>
              <w:jc w:val="center"/>
              <w:rPr>
                <w:rFonts w:ascii="宋体" w:hAnsi="宋体"/>
                <w:color w:val="auto"/>
                <w:sz w:val="28"/>
                <w:szCs w:val="28"/>
                <w:highlight w:val="none"/>
              </w:rPr>
            </w:pPr>
          </w:p>
        </w:tc>
        <w:tc>
          <w:tcPr>
            <w:tcW w:w="1560" w:type="dxa"/>
            <w:vAlign w:val="center"/>
          </w:tcPr>
          <w:p>
            <w:pPr>
              <w:jc w:val="center"/>
              <w:rPr>
                <w:rFonts w:ascii="宋体" w:hAnsi="宋体"/>
                <w:color w:val="auto"/>
                <w:sz w:val="28"/>
                <w:szCs w:val="28"/>
                <w:highlight w:val="none"/>
              </w:rPr>
            </w:pPr>
          </w:p>
        </w:tc>
        <w:tc>
          <w:tcPr>
            <w:tcW w:w="992" w:type="dxa"/>
            <w:vAlign w:val="center"/>
          </w:tcPr>
          <w:p>
            <w:pPr>
              <w:jc w:val="center"/>
              <w:rPr>
                <w:rFonts w:ascii="宋体" w:hAnsi="宋体"/>
                <w:color w:val="auto"/>
                <w:sz w:val="28"/>
                <w:szCs w:val="28"/>
                <w:highlight w:val="none"/>
              </w:rPr>
            </w:pPr>
          </w:p>
        </w:tc>
        <w:tc>
          <w:tcPr>
            <w:tcW w:w="1417" w:type="dxa"/>
            <w:vAlign w:val="center"/>
          </w:tcPr>
          <w:p>
            <w:pPr>
              <w:jc w:val="center"/>
              <w:rPr>
                <w:rFonts w:ascii="宋体" w:hAnsi="宋体"/>
                <w:color w:val="auto"/>
                <w:sz w:val="28"/>
                <w:szCs w:val="28"/>
                <w:highlight w:val="none"/>
              </w:rPr>
            </w:pPr>
          </w:p>
        </w:tc>
        <w:tc>
          <w:tcPr>
            <w:tcW w:w="1560" w:type="dxa"/>
            <w:vAlign w:val="center"/>
          </w:tcPr>
          <w:p>
            <w:pPr>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28" w:type="dxa"/>
            <w:vAlign w:val="center"/>
          </w:tcPr>
          <w:p>
            <w:pPr>
              <w:jc w:val="center"/>
              <w:rPr>
                <w:rFonts w:ascii="宋体" w:hAnsi="宋体"/>
                <w:color w:val="auto"/>
                <w:sz w:val="28"/>
                <w:szCs w:val="28"/>
                <w:highlight w:val="none"/>
              </w:rPr>
            </w:pPr>
          </w:p>
        </w:tc>
        <w:tc>
          <w:tcPr>
            <w:tcW w:w="1908" w:type="dxa"/>
            <w:vAlign w:val="center"/>
          </w:tcPr>
          <w:p>
            <w:pPr>
              <w:jc w:val="center"/>
              <w:rPr>
                <w:rFonts w:ascii="宋体" w:hAnsi="宋体"/>
                <w:color w:val="auto"/>
                <w:sz w:val="28"/>
                <w:szCs w:val="28"/>
                <w:highlight w:val="none"/>
              </w:rPr>
            </w:pPr>
          </w:p>
        </w:tc>
        <w:tc>
          <w:tcPr>
            <w:tcW w:w="4743" w:type="dxa"/>
            <w:vAlign w:val="center"/>
          </w:tcPr>
          <w:p>
            <w:pPr>
              <w:jc w:val="center"/>
              <w:rPr>
                <w:rFonts w:ascii="宋体" w:hAnsi="宋体"/>
                <w:color w:val="auto"/>
                <w:sz w:val="28"/>
                <w:szCs w:val="28"/>
                <w:highlight w:val="none"/>
              </w:rPr>
            </w:pPr>
          </w:p>
        </w:tc>
        <w:tc>
          <w:tcPr>
            <w:tcW w:w="1560" w:type="dxa"/>
            <w:vAlign w:val="center"/>
          </w:tcPr>
          <w:p>
            <w:pPr>
              <w:jc w:val="center"/>
              <w:rPr>
                <w:rFonts w:ascii="宋体" w:hAnsi="宋体"/>
                <w:color w:val="auto"/>
                <w:sz w:val="28"/>
                <w:szCs w:val="28"/>
                <w:highlight w:val="none"/>
              </w:rPr>
            </w:pPr>
          </w:p>
        </w:tc>
        <w:tc>
          <w:tcPr>
            <w:tcW w:w="992" w:type="dxa"/>
            <w:vAlign w:val="center"/>
          </w:tcPr>
          <w:p>
            <w:pPr>
              <w:jc w:val="center"/>
              <w:rPr>
                <w:rFonts w:ascii="宋体" w:hAnsi="宋体"/>
                <w:color w:val="auto"/>
                <w:sz w:val="28"/>
                <w:szCs w:val="28"/>
                <w:highlight w:val="none"/>
              </w:rPr>
            </w:pPr>
          </w:p>
        </w:tc>
        <w:tc>
          <w:tcPr>
            <w:tcW w:w="1417" w:type="dxa"/>
            <w:vAlign w:val="center"/>
          </w:tcPr>
          <w:p>
            <w:pPr>
              <w:jc w:val="center"/>
              <w:rPr>
                <w:rFonts w:ascii="宋体" w:hAnsi="宋体"/>
                <w:color w:val="auto"/>
                <w:sz w:val="28"/>
                <w:szCs w:val="28"/>
                <w:highlight w:val="none"/>
              </w:rPr>
            </w:pPr>
          </w:p>
        </w:tc>
        <w:tc>
          <w:tcPr>
            <w:tcW w:w="1560" w:type="dxa"/>
            <w:vAlign w:val="center"/>
          </w:tcPr>
          <w:p>
            <w:pPr>
              <w:jc w:val="center"/>
              <w:rPr>
                <w:rFonts w:ascii="宋体" w:hAns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736" w:type="dxa"/>
            <w:gridSpan w:val="2"/>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总报价</w:t>
            </w:r>
          </w:p>
        </w:tc>
        <w:tc>
          <w:tcPr>
            <w:tcW w:w="10272" w:type="dxa"/>
            <w:gridSpan w:val="5"/>
            <w:vAlign w:val="center"/>
          </w:tcPr>
          <w:p>
            <w:pPr>
              <w:jc w:val="left"/>
              <w:rPr>
                <w:rFonts w:ascii="宋体" w:hAnsi="宋体"/>
                <w:b/>
                <w:color w:val="auto"/>
                <w:sz w:val="28"/>
                <w:szCs w:val="28"/>
                <w:highlight w:val="none"/>
              </w:rPr>
            </w:pPr>
            <w:r>
              <w:rPr>
                <w:rFonts w:hint="eastAsia" w:ascii="宋体" w:hAnsi="宋体"/>
                <w:b/>
                <w:color w:val="auto"/>
                <w:sz w:val="28"/>
                <w:szCs w:val="28"/>
                <w:highlight w:val="none"/>
              </w:rPr>
              <w:t>大写：</w:t>
            </w:r>
            <w:r>
              <w:rPr>
                <w:rFonts w:ascii="宋体" w:hAnsi="宋体"/>
                <w:b/>
                <w:color w:val="auto"/>
                <w:sz w:val="28"/>
                <w:szCs w:val="28"/>
                <w:highlight w:val="none"/>
              </w:rPr>
              <w:t>人民币</w:t>
            </w:r>
            <w:r>
              <w:rPr>
                <w:rFonts w:hint="eastAsia" w:ascii="宋体" w:hAnsi="宋体"/>
                <w:b/>
                <w:color w:val="auto"/>
                <w:sz w:val="28"/>
                <w:szCs w:val="28"/>
                <w:highlight w:val="none"/>
              </w:rPr>
              <w:t xml:space="preserve">              </w:t>
            </w:r>
            <w:r>
              <w:rPr>
                <w:rFonts w:ascii="宋体" w:hAnsi="宋体"/>
                <w:b/>
                <w:color w:val="auto"/>
                <w:sz w:val="28"/>
                <w:szCs w:val="28"/>
                <w:highlight w:val="none"/>
              </w:rPr>
              <w:t>元整</w:t>
            </w:r>
          </w:p>
          <w:p>
            <w:pPr>
              <w:rPr>
                <w:rFonts w:ascii="宋体" w:hAnsi="宋体"/>
                <w:color w:val="auto"/>
                <w:sz w:val="28"/>
                <w:szCs w:val="28"/>
                <w:highlight w:val="none"/>
              </w:rPr>
            </w:pPr>
            <w:r>
              <w:rPr>
                <w:rFonts w:hint="eastAsia" w:ascii="宋体" w:hAnsi="宋体"/>
                <w:b/>
                <w:color w:val="auto"/>
                <w:sz w:val="28"/>
                <w:szCs w:val="28"/>
                <w:highlight w:val="none"/>
              </w:rPr>
              <w:t>小写：</w:t>
            </w:r>
            <w:r>
              <w:rPr>
                <w:rFonts w:ascii="宋体" w:hAnsi="宋体"/>
                <w:b/>
                <w:color w:val="auto"/>
                <w:sz w:val="28"/>
                <w:szCs w:val="28"/>
                <w:highlight w:val="none"/>
              </w:rPr>
              <w:t>￥</w:t>
            </w:r>
          </w:p>
        </w:tc>
      </w:tr>
    </w:tbl>
    <w:p>
      <w:pPr>
        <w:jc w:val="left"/>
        <w:rPr>
          <w:rFonts w:ascii="宋体" w:hAnsi="宋体"/>
          <w:color w:val="auto"/>
          <w:kern w:val="0"/>
          <w:sz w:val="24"/>
          <w:highlight w:val="none"/>
        </w:rPr>
      </w:pPr>
    </w:p>
    <w:p>
      <w:pPr>
        <w:rPr>
          <w:rFonts w:ascii="宋体" w:hAnsi="宋体"/>
          <w:color w:val="auto"/>
          <w:kern w:val="0"/>
          <w:sz w:val="24"/>
          <w:highlight w:val="none"/>
        </w:rPr>
      </w:pPr>
    </w:p>
    <w:p>
      <w:pPr>
        <w:rPr>
          <w:rFonts w:ascii="宋体" w:hAnsi="宋体"/>
          <w:color w:val="auto"/>
          <w:kern w:val="0"/>
          <w:sz w:val="24"/>
          <w:highlight w:val="none"/>
        </w:rPr>
      </w:pPr>
    </w:p>
    <w:p>
      <w:pPr>
        <w:rPr>
          <w:rFonts w:ascii="宋体" w:hAnsi="宋体"/>
          <w:color w:val="auto"/>
          <w:kern w:val="0"/>
          <w:sz w:val="24"/>
          <w:highlight w:val="none"/>
        </w:rPr>
      </w:pPr>
    </w:p>
    <w:p>
      <w:pPr>
        <w:rPr>
          <w:rFonts w:ascii="宋体" w:hAnsi="宋体"/>
          <w:color w:val="auto"/>
          <w:kern w:val="0"/>
          <w:sz w:val="24"/>
          <w:highlight w:val="none"/>
        </w:rPr>
      </w:pPr>
    </w:p>
    <w:p>
      <w:pPr>
        <w:rPr>
          <w:rFonts w:ascii="宋体" w:hAnsi="宋体"/>
          <w:color w:val="auto"/>
          <w:kern w:val="0"/>
          <w:sz w:val="24"/>
          <w:highlight w:val="none"/>
        </w:rPr>
      </w:pPr>
    </w:p>
    <w:p>
      <w:pPr>
        <w:rPr>
          <w:rFonts w:ascii="宋体" w:hAnsi="宋体"/>
          <w:color w:val="auto"/>
          <w:kern w:val="0"/>
          <w:sz w:val="24"/>
          <w:highlight w:val="none"/>
        </w:rPr>
      </w:pPr>
    </w:p>
    <w:p>
      <w:pPr>
        <w:rPr>
          <w:rFonts w:ascii="宋体" w:hAnsi="宋体"/>
          <w:color w:val="auto"/>
          <w:kern w:val="0"/>
          <w:sz w:val="24"/>
          <w:highlight w:val="none"/>
        </w:rPr>
      </w:pPr>
    </w:p>
    <w:p>
      <w:pPr>
        <w:rPr>
          <w:rFonts w:ascii="宋体" w:hAnsi="宋体"/>
          <w:color w:val="auto"/>
          <w:kern w:val="0"/>
          <w:sz w:val="24"/>
          <w:highlight w:val="none"/>
        </w:rPr>
      </w:pPr>
    </w:p>
    <w:p>
      <w:pPr>
        <w:rPr>
          <w:rFonts w:ascii="宋体" w:hAnsi="宋体"/>
          <w:color w:val="auto"/>
          <w:kern w:val="0"/>
          <w:sz w:val="24"/>
          <w:highlight w:val="none"/>
        </w:rPr>
      </w:pPr>
    </w:p>
    <w:p>
      <w:pPr>
        <w:rPr>
          <w:rFonts w:ascii="宋体" w:hAnsi="宋体"/>
          <w:color w:val="auto"/>
          <w:kern w:val="0"/>
          <w:sz w:val="24"/>
          <w:highlight w:val="none"/>
        </w:rPr>
      </w:pPr>
    </w:p>
    <w:p>
      <w:pPr>
        <w:rPr>
          <w:rFonts w:ascii="宋体" w:hAnsi="宋体"/>
          <w:color w:val="auto"/>
          <w:kern w:val="0"/>
          <w:sz w:val="24"/>
          <w:highlight w:val="none"/>
        </w:rPr>
      </w:pPr>
    </w:p>
    <w:p>
      <w:pPr>
        <w:rPr>
          <w:rFonts w:ascii="宋体" w:hAnsi="宋体"/>
          <w:color w:val="auto"/>
          <w:kern w:val="0"/>
          <w:sz w:val="24"/>
          <w:highlight w:val="none"/>
        </w:rPr>
      </w:pPr>
    </w:p>
    <w:p>
      <w:pPr>
        <w:rPr>
          <w:rFonts w:ascii="宋体" w:hAnsi="宋体"/>
          <w:color w:val="auto"/>
          <w:kern w:val="0"/>
          <w:sz w:val="24"/>
          <w:highlight w:val="none"/>
        </w:rPr>
      </w:pPr>
    </w:p>
    <w:p>
      <w:pPr>
        <w:rPr>
          <w:rFonts w:ascii="宋体" w:hAnsi="宋体"/>
          <w:color w:val="auto"/>
          <w:kern w:val="0"/>
          <w:sz w:val="24"/>
          <w:highlight w:val="none"/>
        </w:rPr>
      </w:pPr>
    </w:p>
    <w:p>
      <w:pPr>
        <w:rPr>
          <w:rFonts w:ascii="宋体" w:hAnsi="宋体"/>
          <w:color w:val="auto"/>
          <w:kern w:val="0"/>
          <w:sz w:val="24"/>
          <w:highlight w:val="none"/>
        </w:rPr>
      </w:pPr>
    </w:p>
    <w:p>
      <w:pPr>
        <w:rPr>
          <w:rFonts w:ascii="宋体" w:hAnsi="宋体"/>
          <w:color w:val="auto"/>
          <w:kern w:val="0"/>
          <w:sz w:val="24"/>
          <w:highlight w:val="none"/>
        </w:rPr>
      </w:pPr>
      <w:r>
        <w:rPr>
          <w:rFonts w:hint="eastAsia" w:ascii="宋体" w:hAnsi="宋体"/>
          <w:color w:val="auto"/>
          <w:kern w:val="0"/>
          <w:sz w:val="24"/>
          <w:highlight w:val="none"/>
        </w:rPr>
        <w:t>备注：</w:t>
      </w:r>
    </w:p>
    <w:p>
      <w:pPr>
        <w:rPr>
          <w:rFonts w:ascii="宋体" w:hAnsi="宋体"/>
          <w:color w:val="auto"/>
          <w:kern w:val="0"/>
          <w:sz w:val="24"/>
          <w:highlight w:val="none"/>
        </w:rPr>
      </w:pPr>
      <w:r>
        <w:rPr>
          <w:rFonts w:hint="eastAsia" w:ascii="宋体" w:hAnsi="宋体"/>
          <w:color w:val="auto"/>
          <w:kern w:val="0"/>
          <w:sz w:val="24"/>
          <w:highlight w:val="none"/>
        </w:rPr>
        <w:t>1、大写总价与小写总价不一致，以大写总价为准。</w:t>
      </w:r>
    </w:p>
    <w:p>
      <w:pPr>
        <w:rPr>
          <w:rFonts w:ascii="宋体" w:hAnsi="宋体"/>
          <w:color w:val="auto"/>
          <w:sz w:val="24"/>
          <w:highlight w:val="none"/>
        </w:rPr>
      </w:pPr>
      <w:r>
        <w:rPr>
          <w:rFonts w:hint="eastAsia" w:ascii="宋体" w:hAnsi="宋体"/>
          <w:color w:val="auto"/>
          <w:sz w:val="24"/>
          <w:highlight w:val="none"/>
        </w:rPr>
        <w:t>2、总报价应包括产品价格、运费、调试费、附属材料及设备费、税收、售后服务等须由谈判响应方支付的所有费用。</w:t>
      </w:r>
    </w:p>
    <w:p>
      <w:pPr>
        <w:rPr>
          <w:rFonts w:ascii="宋体" w:hAnsi="宋体"/>
          <w:color w:val="auto"/>
          <w:kern w:val="0"/>
          <w:sz w:val="24"/>
          <w:highlight w:val="none"/>
        </w:rPr>
      </w:pPr>
    </w:p>
    <w:p>
      <w:pPr>
        <w:wordWrap w:val="0"/>
        <w:autoSpaceDE w:val="0"/>
        <w:autoSpaceDN w:val="0"/>
        <w:adjustRightInd w:val="0"/>
        <w:spacing w:line="440" w:lineRule="exact"/>
        <w:jc w:val="righ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谈判响应方（公章）：     </w:t>
      </w:r>
    </w:p>
    <w:p>
      <w:pPr>
        <w:wordWrap w:val="0"/>
        <w:autoSpaceDE w:val="0"/>
        <w:autoSpaceDN w:val="0"/>
        <w:adjustRightInd w:val="0"/>
        <w:spacing w:line="440" w:lineRule="exact"/>
        <w:jc w:val="righ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法定代表人或授权代表（签字）：     </w:t>
      </w:r>
    </w:p>
    <w:p>
      <w:pPr>
        <w:wordWrap w:val="0"/>
        <w:autoSpaceDE w:val="0"/>
        <w:autoSpaceDN w:val="0"/>
        <w:adjustRightInd w:val="0"/>
        <w:spacing w:line="440" w:lineRule="exact"/>
        <w:jc w:val="righ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日期：</w:t>
      </w:r>
      <w:r>
        <w:rPr>
          <w:rFonts w:ascii="宋体" w:hAnsi="宋体" w:cs="仿宋_GB2312"/>
          <w:color w:val="auto"/>
          <w:kern w:val="0"/>
          <w:sz w:val="24"/>
          <w:highlight w:val="none"/>
          <w:lang w:val="zh-CN"/>
        </w:rPr>
        <w:t>20</w:t>
      </w:r>
      <w:r>
        <w:rPr>
          <w:rFonts w:hint="eastAsia" w:ascii="宋体" w:hAnsi="宋体" w:cs="仿宋_GB2312"/>
          <w:color w:val="auto"/>
          <w:kern w:val="0"/>
          <w:sz w:val="24"/>
          <w:highlight w:val="none"/>
          <w:lang w:val="zh-CN"/>
        </w:rPr>
        <w:t xml:space="preserve">  年</w:t>
      </w:r>
      <w:r>
        <w:rPr>
          <w:rFonts w:ascii="宋体" w:hAnsi="宋体" w:cs="仿宋_GB2312"/>
          <w:color w:val="auto"/>
          <w:kern w:val="0"/>
          <w:sz w:val="24"/>
          <w:highlight w:val="none"/>
          <w:lang w:val="zh-CN"/>
        </w:rPr>
        <w:t xml:space="preserve">  </w:t>
      </w:r>
      <w:r>
        <w:rPr>
          <w:rFonts w:hint="eastAsia" w:ascii="宋体" w:hAnsi="宋体" w:cs="仿宋_GB2312"/>
          <w:color w:val="auto"/>
          <w:kern w:val="0"/>
          <w:sz w:val="24"/>
          <w:highlight w:val="none"/>
          <w:lang w:val="zh-CN"/>
        </w:rPr>
        <w:t>月</w:t>
      </w:r>
      <w:r>
        <w:rPr>
          <w:rFonts w:ascii="宋体" w:hAnsi="宋体" w:cs="仿宋_GB2312"/>
          <w:color w:val="auto"/>
          <w:kern w:val="0"/>
          <w:sz w:val="24"/>
          <w:highlight w:val="none"/>
          <w:lang w:val="zh-CN"/>
        </w:rPr>
        <w:t xml:space="preserve">   </w:t>
      </w:r>
      <w:r>
        <w:rPr>
          <w:rFonts w:hint="eastAsia" w:ascii="宋体" w:hAnsi="宋体" w:cs="仿宋_GB2312"/>
          <w:color w:val="auto"/>
          <w:kern w:val="0"/>
          <w:sz w:val="24"/>
          <w:highlight w:val="none"/>
          <w:lang w:val="zh-CN"/>
        </w:rPr>
        <w:t xml:space="preserve">日      </w:t>
      </w:r>
    </w:p>
    <w:p>
      <w:pPr>
        <w:autoSpaceDE w:val="0"/>
        <w:autoSpaceDN w:val="0"/>
        <w:adjustRightInd w:val="0"/>
        <w:spacing w:line="440" w:lineRule="exact"/>
        <w:jc w:val="center"/>
        <w:rPr>
          <w:rFonts w:ascii="宋体" w:hAnsi="宋体"/>
          <w:b/>
          <w:color w:val="auto"/>
          <w:kern w:val="0"/>
          <w:sz w:val="24"/>
          <w:highlight w:val="none"/>
        </w:rPr>
        <w:sectPr>
          <w:headerReference r:id="rId8" w:type="default"/>
          <w:footerReference r:id="rId10" w:type="default"/>
          <w:headerReference r:id="rId9" w:type="even"/>
          <w:footerReference r:id="rId11" w:type="even"/>
          <w:pgSz w:w="16838" w:h="11906" w:orient="landscape"/>
          <w:pgMar w:top="1304" w:right="1531" w:bottom="1361" w:left="1531" w:header="851" w:footer="601" w:gutter="0"/>
          <w:pgNumType w:fmt="numberInDash"/>
          <w:cols w:space="720" w:num="1"/>
          <w:docGrid w:type="linesAndChars" w:linePitch="312" w:charSpace="0"/>
        </w:sectPr>
      </w:pPr>
    </w:p>
    <w:p>
      <w:pPr>
        <w:autoSpaceDE w:val="0"/>
        <w:autoSpaceDN w:val="0"/>
        <w:adjustRightInd w:val="0"/>
        <w:spacing w:line="440" w:lineRule="exact"/>
        <w:jc w:val="center"/>
        <w:rPr>
          <w:rFonts w:ascii="宋体" w:hAnsi="宋体"/>
          <w:b/>
          <w:color w:val="auto"/>
          <w:kern w:val="0"/>
          <w:sz w:val="32"/>
          <w:szCs w:val="32"/>
          <w:highlight w:val="none"/>
        </w:rPr>
      </w:pPr>
      <w:r>
        <w:rPr>
          <w:rFonts w:hint="eastAsia" w:ascii="宋体" w:hAnsi="宋体"/>
          <w:b/>
          <w:color w:val="auto"/>
          <w:kern w:val="0"/>
          <w:sz w:val="32"/>
          <w:szCs w:val="32"/>
          <w:highlight w:val="none"/>
        </w:rPr>
        <w:t>六、技术偏离表</w:t>
      </w:r>
    </w:p>
    <w:p>
      <w:pPr>
        <w:autoSpaceDE w:val="0"/>
        <w:autoSpaceDN w:val="0"/>
        <w:adjustRightInd w:val="0"/>
        <w:spacing w:line="440" w:lineRule="exact"/>
        <w:jc w:val="center"/>
        <w:rPr>
          <w:rFonts w:ascii="宋体" w:hAnsi="宋体"/>
          <w:b/>
          <w:color w:val="auto"/>
          <w:kern w:val="0"/>
          <w:sz w:val="32"/>
          <w:szCs w:val="32"/>
          <w:highlight w:val="none"/>
        </w:rPr>
      </w:pPr>
    </w:p>
    <w:p>
      <w:pPr>
        <w:autoSpaceDE w:val="0"/>
        <w:autoSpaceDN w:val="0"/>
        <w:adjustRightInd w:val="0"/>
        <w:spacing w:line="440" w:lineRule="exact"/>
        <w:ind w:firstLine="361" w:firstLineChars="150"/>
        <w:rPr>
          <w:rFonts w:ascii="宋体" w:hAnsi="宋体"/>
          <w:b/>
          <w:color w:val="auto"/>
          <w:kern w:val="0"/>
          <w:sz w:val="24"/>
          <w:highlight w:val="none"/>
        </w:rPr>
      </w:pPr>
      <w:r>
        <w:rPr>
          <w:rFonts w:hint="eastAsia" w:ascii="宋体" w:hAnsi="宋体"/>
          <w:b/>
          <w:color w:val="auto"/>
          <w:kern w:val="0"/>
          <w:sz w:val="24"/>
          <w:highlight w:val="none"/>
        </w:rPr>
        <w:t>项目编号：</w:t>
      </w:r>
      <w:r>
        <w:rPr>
          <w:rFonts w:hint="eastAsia" w:ascii="宋体" w:hAnsi="宋体"/>
          <w:b/>
          <w:color w:val="auto"/>
          <w:kern w:val="0"/>
          <w:sz w:val="24"/>
          <w:highlight w:val="none"/>
          <w:lang w:eastAsia="zh-CN"/>
        </w:rPr>
        <w:t>HZYHZFCG-2019-102</w:t>
      </w:r>
      <w:r>
        <w:rPr>
          <w:rFonts w:hint="eastAsia" w:ascii="宋体" w:hAnsi="宋体"/>
          <w:b/>
          <w:color w:val="auto"/>
          <w:kern w:val="0"/>
          <w:sz w:val="24"/>
          <w:highlight w:val="none"/>
        </w:rPr>
        <w:t xml:space="preserve">     </w:t>
      </w:r>
    </w:p>
    <w:tbl>
      <w:tblPr>
        <w:tblStyle w:val="31"/>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878" w:type="dxa"/>
            <w:tcBorders>
              <w:bottom w:val="single" w:color="auto" w:sz="4" w:space="0"/>
            </w:tcBorders>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1855" w:type="dxa"/>
            <w:tcBorders>
              <w:bottom w:val="single" w:color="auto" w:sz="4" w:space="0"/>
            </w:tcBorders>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内  容</w:t>
            </w:r>
          </w:p>
        </w:tc>
        <w:tc>
          <w:tcPr>
            <w:tcW w:w="1957" w:type="dxa"/>
            <w:tcBorders>
              <w:bottom w:val="single" w:color="auto" w:sz="4" w:space="0"/>
            </w:tcBorders>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采购文件</w:t>
            </w:r>
          </w:p>
          <w:p>
            <w:pPr>
              <w:jc w:val="center"/>
              <w:rPr>
                <w:rFonts w:ascii="宋体" w:hAnsi="宋体"/>
                <w:color w:val="auto"/>
                <w:sz w:val="24"/>
                <w:szCs w:val="24"/>
                <w:highlight w:val="none"/>
              </w:rPr>
            </w:pPr>
            <w:r>
              <w:rPr>
                <w:rFonts w:hint="eastAsia" w:ascii="宋体" w:hAnsi="宋体"/>
                <w:color w:val="auto"/>
                <w:sz w:val="24"/>
                <w:szCs w:val="24"/>
                <w:highlight w:val="none"/>
              </w:rPr>
              <w:t>规范要求</w:t>
            </w:r>
          </w:p>
        </w:tc>
        <w:tc>
          <w:tcPr>
            <w:tcW w:w="1620" w:type="dxa"/>
            <w:tcBorders>
              <w:bottom w:val="single" w:color="auto" w:sz="4" w:space="0"/>
            </w:tcBorders>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响应文件对应规范</w:t>
            </w:r>
          </w:p>
        </w:tc>
        <w:tc>
          <w:tcPr>
            <w:tcW w:w="2328" w:type="dxa"/>
            <w:tcBorders>
              <w:bottom w:val="single" w:color="auto" w:sz="4" w:space="0"/>
            </w:tcBorders>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vAlign w:val="top"/>
          </w:tcPr>
          <w:p>
            <w:pPr>
              <w:spacing w:line="360" w:lineRule="auto"/>
              <w:jc w:val="center"/>
              <w:rPr>
                <w:rFonts w:ascii="宋体" w:hAnsi="宋体"/>
                <w:color w:val="auto"/>
                <w:sz w:val="24"/>
                <w:szCs w:val="24"/>
                <w:highlight w:val="none"/>
              </w:rPr>
            </w:pPr>
          </w:p>
        </w:tc>
        <w:tc>
          <w:tcPr>
            <w:tcW w:w="1855" w:type="dxa"/>
            <w:vAlign w:val="top"/>
          </w:tcPr>
          <w:p>
            <w:pPr>
              <w:spacing w:line="360" w:lineRule="auto"/>
              <w:rPr>
                <w:rFonts w:ascii="宋体" w:hAnsi="宋体"/>
                <w:color w:val="auto"/>
                <w:sz w:val="24"/>
                <w:szCs w:val="24"/>
                <w:highlight w:val="none"/>
              </w:rPr>
            </w:pPr>
          </w:p>
        </w:tc>
        <w:tc>
          <w:tcPr>
            <w:tcW w:w="1957" w:type="dxa"/>
            <w:vAlign w:val="top"/>
          </w:tcPr>
          <w:p>
            <w:pPr>
              <w:spacing w:line="360" w:lineRule="auto"/>
              <w:rPr>
                <w:rFonts w:ascii="宋体" w:hAnsi="宋体"/>
                <w:color w:val="auto"/>
                <w:sz w:val="24"/>
                <w:szCs w:val="24"/>
                <w:highlight w:val="none"/>
              </w:rPr>
            </w:pPr>
          </w:p>
        </w:tc>
        <w:tc>
          <w:tcPr>
            <w:tcW w:w="1620" w:type="dxa"/>
            <w:vAlign w:val="top"/>
          </w:tcPr>
          <w:p>
            <w:pPr>
              <w:spacing w:line="360" w:lineRule="auto"/>
              <w:rPr>
                <w:rFonts w:ascii="宋体" w:hAnsi="宋体"/>
                <w:color w:val="auto"/>
                <w:sz w:val="24"/>
                <w:szCs w:val="24"/>
                <w:highlight w:val="none"/>
              </w:rPr>
            </w:pPr>
          </w:p>
        </w:tc>
        <w:tc>
          <w:tcPr>
            <w:tcW w:w="2328" w:type="dxa"/>
            <w:vAlign w:val="top"/>
          </w:tcPr>
          <w:p>
            <w:pPr>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vAlign w:val="top"/>
          </w:tcPr>
          <w:p>
            <w:pPr>
              <w:spacing w:line="360" w:lineRule="auto"/>
              <w:rPr>
                <w:rFonts w:ascii="宋体" w:hAnsi="宋体"/>
                <w:color w:val="auto"/>
                <w:sz w:val="24"/>
                <w:szCs w:val="24"/>
                <w:highlight w:val="none"/>
              </w:rPr>
            </w:pPr>
          </w:p>
        </w:tc>
        <w:tc>
          <w:tcPr>
            <w:tcW w:w="1855" w:type="dxa"/>
            <w:vAlign w:val="top"/>
          </w:tcPr>
          <w:p>
            <w:pPr>
              <w:spacing w:line="360" w:lineRule="auto"/>
              <w:rPr>
                <w:rFonts w:ascii="宋体" w:hAnsi="宋体"/>
                <w:color w:val="auto"/>
                <w:sz w:val="24"/>
                <w:szCs w:val="24"/>
                <w:highlight w:val="none"/>
              </w:rPr>
            </w:pPr>
          </w:p>
        </w:tc>
        <w:tc>
          <w:tcPr>
            <w:tcW w:w="1957" w:type="dxa"/>
            <w:vAlign w:val="top"/>
          </w:tcPr>
          <w:p>
            <w:pPr>
              <w:spacing w:line="360" w:lineRule="auto"/>
              <w:rPr>
                <w:rFonts w:ascii="宋体" w:hAnsi="宋体"/>
                <w:color w:val="auto"/>
                <w:sz w:val="24"/>
                <w:szCs w:val="24"/>
                <w:highlight w:val="none"/>
              </w:rPr>
            </w:pPr>
          </w:p>
        </w:tc>
        <w:tc>
          <w:tcPr>
            <w:tcW w:w="1620" w:type="dxa"/>
            <w:vAlign w:val="top"/>
          </w:tcPr>
          <w:p>
            <w:pPr>
              <w:spacing w:line="360" w:lineRule="auto"/>
              <w:rPr>
                <w:rFonts w:ascii="宋体" w:hAnsi="宋体"/>
                <w:color w:val="auto"/>
                <w:sz w:val="24"/>
                <w:szCs w:val="24"/>
                <w:highlight w:val="none"/>
              </w:rPr>
            </w:pPr>
          </w:p>
        </w:tc>
        <w:tc>
          <w:tcPr>
            <w:tcW w:w="2328" w:type="dxa"/>
            <w:vAlign w:val="top"/>
          </w:tcPr>
          <w:p>
            <w:pPr>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vAlign w:val="top"/>
          </w:tcPr>
          <w:p>
            <w:pPr>
              <w:spacing w:line="360" w:lineRule="auto"/>
              <w:rPr>
                <w:rFonts w:ascii="宋体" w:hAnsi="宋体"/>
                <w:color w:val="auto"/>
                <w:sz w:val="24"/>
                <w:szCs w:val="24"/>
                <w:highlight w:val="none"/>
              </w:rPr>
            </w:pPr>
          </w:p>
        </w:tc>
        <w:tc>
          <w:tcPr>
            <w:tcW w:w="1855" w:type="dxa"/>
            <w:vAlign w:val="top"/>
          </w:tcPr>
          <w:p>
            <w:pPr>
              <w:spacing w:line="360" w:lineRule="auto"/>
              <w:rPr>
                <w:rFonts w:ascii="宋体" w:hAnsi="宋体"/>
                <w:color w:val="auto"/>
                <w:sz w:val="24"/>
                <w:szCs w:val="24"/>
                <w:highlight w:val="none"/>
              </w:rPr>
            </w:pPr>
          </w:p>
        </w:tc>
        <w:tc>
          <w:tcPr>
            <w:tcW w:w="1957" w:type="dxa"/>
            <w:vAlign w:val="top"/>
          </w:tcPr>
          <w:p>
            <w:pPr>
              <w:spacing w:line="360" w:lineRule="auto"/>
              <w:rPr>
                <w:rFonts w:ascii="宋体" w:hAnsi="宋体"/>
                <w:color w:val="auto"/>
                <w:sz w:val="24"/>
                <w:szCs w:val="24"/>
                <w:highlight w:val="none"/>
              </w:rPr>
            </w:pPr>
          </w:p>
        </w:tc>
        <w:tc>
          <w:tcPr>
            <w:tcW w:w="1620" w:type="dxa"/>
            <w:vAlign w:val="top"/>
          </w:tcPr>
          <w:p>
            <w:pPr>
              <w:spacing w:line="360" w:lineRule="auto"/>
              <w:rPr>
                <w:rFonts w:ascii="宋体" w:hAnsi="宋体"/>
                <w:color w:val="auto"/>
                <w:sz w:val="24"/>
                <w:szCs w:val="24"/>
                <w:highlight w:val="none"/>
              </w:rPr>
            </w:pPr>
          </w:p>
        </w:tc>
        <w:tc>
          <w:tcPr>
            <w:tcW w:w="2328" w:type="dxa"/>
            <w:vAlign w:val="top"/>
          </w:tcPr>
          <w:p>
            <w:pPr>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878" w:type="dxa"/>
            <w:vAlign w:val="top"/>
          </w:tcPr>
          <w:p>
            <w:pPr>
              <w:spacing w:line="360" w:lineRule="auto"/>
              <w:rPr>
                <w:rFonts w:ascii="宋体" w:hAnsi="宋体"/>
                <w:color w:val="auto"/>
                <w:sz w:val="24"/>
                <w:szCs w:val="24"/>
                <w:highlight w:val="none"/>
              </w:rPr>
            </w:pPr>
          </w:p>
        </w:tc>
        <w:tc>
          <w:tcPr>
            <w:tcW w:w="1855" w:type="dxa"/>
            <w:vAlign w:val="top"/>
          </w:tcPr>
          <w:p>
            <w:pPr>
              <w:spacing w:line="360" w:lineRule="auto"/>
              <w:rPr>
                <w:rFonts w:ascii="宋体" w:hAnsi="宋体"/>
                <w:color w:val="auto"/>
                <w:sz w:val="24"/>
                <w:szCs w:val="24"/>
                <w:highlight w:val="none"/>
              </w:rPr>
            </w:pPr>
          </w:p>
        </w:tc>
        <w:tc>
          <w:tcPr>
            <w:tcW w:w="1957" w:type="dxa"/>
            <w:vAlign w:val="top"/>
          </w:tcPr>
          <w:p>
            <w:pPr>
              <w:spacing w:line="360" w:lineRule="auto"/>
              <w:rPr>
                <w:rFonts w:ascii="宋体" w:hAnsi="宋体"/>
                <w:color w:val="auto"/>
                <w:sz w:val="24"/>
                <w:szCs w:val="24"/>
                <w:highlight w:val="none"/>
              </w:rPr>
            </w:pPr>
          </w:p>
        </w:tc>
        <w:tc>
          <w:tcPr>
            <w:tcW w:w="1620" w:type="dxa"/>
            <w:vAlign w:val="top"/>
          </w:tcPr>
          <w:p>
            <w:pPr>
              <w:spacing w:line="360" w:lineRule="auto"/>
              <w:rPr>
                <w:rFonts w:ascii="宋体" w:hAnsi="宋体"/>
                <w:color w:val="auto"/>
                <w:sz w:val="24"/>
                <w:szCs w:val="24"/>
                <w:highlight w:val="none"/>
              </w:rPr>
            </w:pPr>
          </w:p>
        </w:tc>
        <w:tc>
          <w:tcPr>
            <w:tcW w:w="2328" w:type="dxa"/>
            <w:vAlign w:val="top"/>
          </w:tcPr>
          <w:p>
            <w:pPr>
              <w:spacing w:line="360" w:lineRule="auto"/>
              <w:rPr>
                <w:rFonts w:ascii="宋体" w:hAnsi="宋体"/>
                <w:color w:val="auto"/>
                <w:sz w:val="24"/>
                <w:szCs w:val="24"/>
                <w:highlight w:val="none"/>
              </w:rPr>
            </w:pPr>
          </w:p>
        </w:tc>
      </w:tr>
    </w:tbl>
    <w:p>
      <w:pPr>
        <w:pStyle w:val="8"/>
        <w:rPr>
          <w:rFonts w:ascii="宋体" w:hAnsi="宋体"/>
          <w:color w:val="auto"/>
          <w:highlight w:val="none"/>
        </w:rPr>
      </w:pPr>
    </w:p>
    <w:p>
      <w:pPr>
        <w:pStyle w:val="8"/>
        <w:rPr>
          <w:rFonts w:ascii="宋体" w:hAnsi="宋体"/>
          <w:color w:val="auto"/>
          <w:spacing w:val="20"/>
          <w:sz w:val="24"/>
          <w:szCs w:val="24"/>
          <w:highlight w:val="none"/>
        </w:rPr>
      </w:pPr>
      <w:r>
        <w:rPr>
          <w:rFonts w:hint="eastAsia" w:ascii="宋体" w:hAnsi="宋体"/>
          <w:color w:val="auto"/>
          <w:sz w:val="24"/>
          <w:szCs w:val="24"/>
          <w:highlight w:val="none"/>
        </w:rPr>
        <w:t>注：谈判响应方应根据响应设备的性能指标、对照采购文件要求在“偏离情况”栏注明“正偏离”、“负偏离”或“无偏离”。</w:t>
      </w:r>
    </w:p>
    <w:p>
      <w:pPr>
        <w:wordWrap w:val="0"/>
        <w:autoSpaceDE w:val="0"/>
        <w:autoSpaceDN w:val="0"/>
        <w:adjustRightInd w:val="0"/>
        <w:spacing w:line="440" w:lineRule="exact"/>
        <w:jc w:val="right"/>
        <w:rPr>
          <w:rFonts w:ascii="宋体" w:hAnsi="宋体" w:cs="仿宋_GB2312"/>
          <w:color w:val="auto"/>
          <w:kern w:val="0"/>
          <w:sz w:val="24"/>
          <w:highlight w:val="none"/>
          <w:lang w:val="zh-CN"/>
        </w:rPr>
      </w:pPr>
    </w:p>
    <w:p>
      <w:pPr>
        <w:autoSpaceDE w:val="0"/>
        <w:autoSpaceDN w:val="0"/>
        <w:adjustRightInd w:val="0"/>
        <w:spacing w:line="440" w:lineRule="exact"/>
        <w:jc w:val="right"/>
        <w:rPr>
          <w:rFonts w:ascii="宋体" w:hAnsi="宋体" w:cs="仿宋_GB2312"/>
          <w:color w:val="auto"/>
          <w:kern w:val="0"/>
          <w:sz w:val="24"/>
          <w:highlight w:val="none"/>
          <w:lang w:val="zh-CN"/>
        </w:rPr>
      </w:pPr>
    </w:p>
    <w:p>
      <w:pPr>
        <w:wordWrap w:val="0"/>
        <w:autoSpaceDE w:val="0"/>
        <w:autoSpaceDN w:val="0"/>
        <w:adjustRightInd w:val="0"/>
        <w:spacing w:line="440" w:lineRule="exact"/>
        <w:jc w:val="righ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谈判响应方（公章）：     </w:t>
      </w:r>
    </w:p>
    <w:p>
      <w:pPr>
        <w:wordWrap w:val="0"/>
        <w:autoSpaceDE w:val="0"/>
        <w:autoSpaceDN w:val="0"/>
        <w:adjustRightInd w:val="0"/>
        <w:spacing w:line="440" w:lineRule="exact"/>
        <w:jc w:val="righ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法定代表人或授权代表（签字）：     </w:t>
      </w:r>
    </w:p>
    <w:p>
      <w:pPr>
        <w:wordWrap w:val="0"/>
        <w:autoSpaceDE w:val="0"/>
        <w:autoSpaceDN w:val="0"/>
        <w:adjustRightInd w:val="0"/>
        <w:spacing w:line="440" w:lineRule="exact"/>
        <w:jc w:val="right"/>
        <w:rPr>
          <w:rFonts w:ascii="宋体" w:hAnsi="宋体" w:cs="仿宋_GB2312"/>
          <w:color w:val="auto"/>
          <w:kern w:val="0"/>
          <w:sz w:val="24"/>
          <w:highlight w:val="none"/>
          <w:lang w:val="zh-CN"/>
        </w:rPr>
        <w:sectPr>
          <w:pgSz w:w="11906" w:h="16838"/>
          <w:pgMar w:top="1531" w:right="1361" w:bottom="1531" w:left="1304" w:header="851" w:footer="601" w:gutter="0"/>
          <w:pgNumType w:fmt="numberInDash"/>
          <w:cols w:space="720" w:num="1"/>
          <w:docGrid w:type="lines" w:linePitch="312" w:charSpace="0"/>
        </w:sectPr>
      </w:pPr>
      <w:r>
        <w:rPr>
          <w:rFonts w:hint="eastAsia" w:ascii="宋体" w:hAnsi="宋体" w:cs="仿宋_GB2312"/>
          <w:color w:val="auto"/>
          <w:kern w:val="0"/>
          <w:sz w:val="24"/>
          <w:highlight w:val="none"/>
          <w:lang w:val="zh-CN"/>
        </w:rPr>
        <w:t xml:space="preserve"> 日期：</w:t>
      </w:r>
      <w:r>
        <w:rPr>
          <w:rFonts w:ascii="宋体" w:hAnsi="宋体" w:cs="仿宋_GB2312"/>
          <w:color w:val="auto"/>
          <w:kern w:val="0"/>
          <w:sz w:val="24"/>
          <w:highlight w:val="none"/>
          <w:lang w:val="zh-CN"/>
        </w:rPr>
        <w:t>20</w:t>
      </w:r>
      <w:r>
        <w:rPr>
          <w:rFonts w:hint="eastAsia" w:ascii="宋体" w:hAnsi="宋体" w:cs="仿宋_GB2312"/>
          <w:color w:val="auto"/>
          <w:kern w:val="0"/>
          <w:sz w:val="24"/>
          <w:highlight w:val="none"/>
          <w:lang w:val="zh-CN"/>
        </w:rPr>
        <w:t xml:space="preserve">  年</w:t>
      </w:r>
      <w:r>
        <w:rPr>
          <w:rFonts w:ascii="宋体" w:hAnsi="宋体" w:cs="仿宋_GB2312"/>
          <w:color w:val="auto"/>
          <w:kern w:val="0"/>
          <w:sz w:val="24"/>
          <w:highlight w:val="none"/>
          <w:lang w:val="zh-CN"/>
        </w:rPr>
        <w:t xml:space="preserve">  </w:t>
      </w:r>
      <w:r>
        <w:rPr>
          <w:rFonts w:hint="eastAsia" w:ascii="宋体" w:hAnsi="宋体" w:cs="仿宋_GB2312"/>
          <w:color w:val="auto"/>
          <w:kern w:val="0"/>
          <w:sz w:val="24"/>
          <w:highlight w:val="none"/>
          <w:lang w:val="zh-CN"/>
        </w:rPr>
        <w:t>月</w:t>
      </w:r>
      <w:r>
        <w:rPr>
          <w:rFonts w:ascii="宋体" w:hAnsi="宋体" w:cs="仿宋_GB2312"/>
          <w:color w:val="auto"/>
          <w:kern w:val="0"/>
          <w:sz w:val="24"/>
          <w:highlight w:val="none"/>
          <w:lang w:val="zh-CN"/>
        </w:rPr>
        <w:t xml:space="preserve">   </w:t>
      </w:r>
      <w:r>
        <w:rPr>
          <w:rFonts w:hint="eastAsia" w:ascii="宋体" w:hAnsi="宋体" w:cs="仿宋_GB2312"/>
          <w:color w:val="auto"/>
          <w:kern w:val="0"/>
          <w:sz w:val="24"/>
          <w:highlight w:val="none"/>
          <w:lang w:val="zh-CN"/>
        </w:rPr>
        <w:t xml:space="preserve">日       </w:t>
      </w:r>
    </w:p>
    <w:p>
      <w:pPr>
        <w:spacing w:line="440" w:lineRule="exact"/>
        <w:jc w:val="center"/>
        <w:rPr>
          <w:rFonts w:ascii="宋体" w:hAnsi="宋体" w:cs="宋体"/>
          <w:b/>
          <w:color w:val="auto"/>
          <w:kern w:val="0"/>
          <w:sz w:val="32"/>
          <w:szCs w:val="32"/>
          <w:highlight w:val="none"/>
        </w:rPr>
      </w:pPr>
      <w:r>
        <w:rPr>
          <w:rFonts w:hint="eastAsia" w:ascii="宋体" w:hAnsi="宋体"/>
          <w:b/>
          <w:color w:val="auto"/>
          <w:sz w:val="32"/>
          <w:szCs w:val="32"/>
          <w:highlight w:val="none"/>
        </w:rPr>
        <w:t>七、</w:t>
      </w:r>
      <w:r>
        <w:rPr>
          <w:rFonts w:hint="eastAsia" w:ascii="宋体" w:hAnsi="宋体" w:cs="宋体"/>
          <w:b/>
          <w:color w:val="auto"/>
          <w:kern w:val="0"/>
          <w:sz w:val="32"/>
          <w:szCs w:val="32"/>
          <w:highlight w:val="none"/>
        </w:rPr>
        <w:t>项目组人员情况安排表</w:t>
      </w:r>
    </w:p>
    <w:p>
      <w:pPr>
        <w:spacing w:line="440" w:lineRule="exact"/>
        <w:jc w:val="left"/>
        <w:rPr>
          <w:rFonts w:ascii="宋体" w:hAnsi="宋体" w:cs="仿宋_GB2312"/>
          <w:b/>
          <w:bCs/>
          <w:color w:val="auto"/>
          <w:kern w:val="0"/>
          <w:sz w:val="30"/>
          <w:szCs w:val="30"/>
          <w:highlight w:val="none"/>
          <w:lang w:val="zh-CN"/>
        </w:rPr>
      </w:pPr>
      <w:r>
        <w:rPr>
          <w:rFonts w:hint="eastAsia" w:ascii="宋体" w:hAnsi="宋体"/>
          <w:b/>
          <w:color w:val="auto"/>
          <w:sz w:val="24"/>
          <w:highlight w:val="none"/>
        </w:rPr>
        <w:t>项目编号：</w:t>
      </w:r>
      <w:r>
        <w:rPr>
          <w:rFonts w:hint="eastAsia" w:ascii="宋体" w:hAnsi="宋体"/>
          <w:b/>
          <w:color w:val="auto"/>
          <w:kern w:val="0"/>
          <w:sz w:val="24"/>
          <w:highlight w:val="none"/>
          <w:lang w:eastAsia="zh-CN"/>
        </w:rPr>
        <w:t>HZYHZFCG-2019-102</w:t>
      </w:r>
      <w:r>
        <w:rPr>
          <w:rFonts w:hint="eastAsia" w:ascii="宋体" w:hAnsi="宋体"/>
          <w:b/>
          <w:color w:val="auto"/>
          <w:kern w:val="0"/>
          <w:sz w:val="24"/>
          <w:highlight w:val="none"/>
        </w:rPr>
        <w:t xml:space="preserve"> </w:t>
      </w:r>
    </w:p>
    <w:tbl>
      <w:tblPr>
        <w:tblStyle w:val="31"/>
        <w:tblW w:w="13131" w:type="dxa"/>
        <w:tblInd w:w="-31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19"/>
        <w:gridCol w:w="1002"/>
        <w:gridCol w:w="1260"/>
        <w:gridCol w:w="1575"/>
        <w:gridCol w:w="1365"/>
        <w:gridCol w:w="2625"/>
        <w:gridCol w:w="1890"/>
        <w:gridCol w:w="199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60" w:hRule="atLeast"/>
        </w:trPr>
        <w:tc>
          <w:tcPr>
            <w:tcW w:w="1419" w:type="dxa"/>
            <w:tcBorders>
              <w:top w:val="single" w:color="auto" w:sz="12" w:space="0"/>
              <w:bottom w:val="single" w:color="auto" w:sz="2"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拟任分工</w:t>
            </w:r>
          </w:p>
        </w:tc>
        <w:tc>
          <w:tcPr>
            <w:tcW w:w="1002" w:type="dxa"/>
            <w:tcBorders>
              <w:top w:val="single" w:color="auto" w:sz="12" w:space="0"/>
              <w:bottom w:val="single" w:color="auto" w:sz="2" w:space="0"/>
            </w:tcBorders>
            <w:vAlign w:val="center"/>
          </w:tcPr>
          <w:p>
            <w:pPr>
              <w:spacing w:line="360" w:lineRule="auto"/>
              <w:ind w:left="105" w:leftChars="50"/>
              <w:jc w:val="center"/>
              <w:rPr>
                <w:rFonts w:ascii="宋体" w:hAnsi="宋体"/>
                <w:color w:val="auto"/>
                <w:sz w:val="24"/>
                <w:szCs w:val="24"/>
                <w:highlight w:val="none"/>
              </w:rPr>
            </w:pPr>
            <w:r>
              <w:rPr>
                <w:rFonts w:hint="eastAsia" w:ascii="宋体" w:hAnsi="宋体"/>
                <w:color w:val="auto"/>
                <w:sz w:val="24"/>
                <w:szCs w:val="24"/>
                <w:highlight w:val="none"/>
              </w:rPr>
              <w:t>姓名</w:t>
            </w:r>
          </w:p>
        </w:tc>
        <w:tc>
          <w:tcPr>
            <w:tcW w:w="1260" w:type="dxa"/>
            <w:tcBorders>
              <w:top w:val="single" w:color="auto" w:sz="12" w:space="0"/>
              <w:bottom w:val="single" w:color="auto" w:sz="2"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学历</w:t>
            </w:r>
          </w:p>
        </w:tc>
        <w:tc>
          <w:tcPr>
            <w:tcW w:w="1575" w:type="dxa"/>
            <w:tcBorders>
              <w:top w:val="single" w:color="auto" w:sz="12" w:space="0"/>
              <w:bottom w:val="single" w:color="auto" w:sz="2"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本单位工作时间</w:t>
            </w:r>
          </w:p>
        </w:tc>
        <w:tc>
          <w:tcPr>
            <w:tcW w:w="1365" w:type="dxa"/>
            <w:tcBorders>
              <w:top w:val="single" w:color="auto" w:sz="12" w:space="0"/>
              <w:bottom w:val="single" w:color="auto" w:sz="2"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专业工龄</w:t>
            </w:r>
          </w:p>
        </w:tc>
        <w:tc>
          <w:tcPr>
            <w:tcW w:w="2625" w:type="dxa"/>
            <w:tcBorders>
              <w:top w:val="single" w:color="auto" w:sz="12" w:space="0"/>
              <w:bottom w:val="single" w:color="auto" w:sz="2" w:space="0"/>
            </w:tcBorders>
            <w:vAlign w:val="center"/>
          </w:tcPr>
          <w:p>
            <w:pPr>
              <w:spacing w:line="360" w:lineRule="auto"/>
              <w:ind w:left="132" w:leftChars="63"/>
              <w:jc w:val="center"/>
              <w:rPr>
                <w:rFonts w:ascii="宋体" w:hAnsi="宋体"/>
                <w:color w:val="auto"/>
                <w:sz w:val="24"/>
                <w:szCs w:val="24"/>
                <w:highlight w:val="none"/>
              </w:rPr>
            </w:pPr>
            <w:r>
              <w:rPr>
                <w:rFonts w:hint="eastAsia" w:ascii="宋体" w:hAnsi="宋体"/>
                <w:color w:val="auto"/>
                <w:sz w:val="24"/>
                <w:szCs w:val="24"/>
                <w:highlight w:val="none"/>
              </w:rPr>
              <w:t>获得的专业技术资格证或技术培训登记证</w:t>
            </w:r>
          </w:p>
        </w:tc>
        <w:tc>
          <w:tcPr>
            <w:tcW w:w="1890" w:type="dxa"/>
            <w:tcBorders>
              <w:top w:val="single" w:color="auto" w:sz="12" w:space="0"/>
              <w:bottom w:val="single" w:color="auto" w:sz="2"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履 历</w:t>
            </w:r>
          </w:p>
        </w:tc>
        <w:tc>
          <w:tcPr>
            <w:tcW w:w="1995" w:type="dxa"/>
            <w:tcBorders>
              <w:top w:val="single" w:color="auto" w:sz="12" w:space="0"/>
              <w:left w:val="single" w:color="auto" w:sz="4" w:space="0"/>
              <w:bottom w:val="single" w:color="auto" w:sz="2"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联系电话/手机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trPr>
        <w:tc>
          <w:tcPr>
            <w:tcW w:w="1419" w:type="dxa"/>
            <w:tcBorders>
              <w:top w:val="single" w:color="auto" w:sz="2"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项目负责人</w:t>
            </w:r>
          </w:p>
        </w:tc>
        <w:tc>
          <w:tcPr>
            <w:tcW w:w="1002" w:type="dxa"/>
            <w:tcBorders>
              <w:top w:val="single" w:color="auto" w:sz="2" w:space="0"/>
            </w:tcBorders>
            <w:vAlign w:val="center"/>
          </w:tcPr>
          <w:p>
            <w:pPr>
              <w:spacing w:line="360" w:lineRule="auto"/>
              <w:ind w:firstLine="600"/>
              <w:jc w:val="center"/>
              <w:rPr>
                <w:rFonts w:ascii="宋体" w:hAnsi="宋体"/>
                <w:color w:val="auto"/>
                <w:sz w:val="24"/>
                <w:szCs w:val="24"/>
                <w:highlight w:val="none"/>
              </w:rPr>
            </w:pPr>
          </w:p>
        </w:tc>
        <w:tc>
          <w:tcPr>
            <w:tcW w:w="1260" w:type="dxa"/>
            <w:tcBorders>
              <w:top w:val="single" w:color="auto" w:sz="2" w:space="0"/>
            </w:tcBorders>
            <w:vAlign w:val="top"/>
          </w:tcPr>
          <w:p>
            <w:pPr>
              <w:spacing w:line="360" w:lineRule="auto"/>
              <w:ind w:firstLine="921" w:firstLineChars="384"/>
              <w:jc w:val="center"/>
              <w:rPr>
                <w:rFonts w:ascii="宋体" w:hAnsi="宋体"/>
                <w:color w:val="auto"/>
                <w:sz w:val="24"/>
                <w:szCs w:val="24"/>
                <w:highlight w:val="none"/>
              </w:rPr>
            </w:pPr>
          </w:p>
        </w:tc>
        <w:tc>
          <w:tcPr>
            <w:tcW w:w="1575" w:type="dxa"/>
            <w:tcBorders>
              <w:top w:val="single" w:color="auto" w:sz="2" w:space="0"/>
            </w:tcBorders>
            <w:vAlign w:val="center"/>
          </w:tcPr>
          <w:p>
            <w:pPr>
              <w:spacing w:line="360" w:lineRule="auto"/>
              <w:ind w:firstLine="921" w:firstLineChars="384"/>
              <w:jc w:val="center"/>
              <w:rPr>
                <w:rFonts w:ascii="宋体" w:hAnsi="宋体"/>
                <w:color w:val="auto"/>
                <w:sz w:val="24"/>
                <w:szCs w:val="24"/>
                <w:highlight w:val="none"/>
              </w:rPr>
            </w:pPr>
          </w:p>
        </w:tc>
        <w:tc>
          <w:tcPr>
            <w:tcW w:w="1365" w:type="dxa"/>
            <w:tcBorders>
              <w:top w:val="single" w:color="auto" w:sz="2" w:space="0"/>
            </w:tcBorders>
            <w:vAlign w:val="center"/>
          </w:tcPr>
          <w:p>
            <w:pPr>
              <w:spacing w:line="360" w:lineRule="auto"/>
              <w:jc w:val="center"/>
              <w:rPr>
                <w:rFonts w:ascii="宋体" w:hAnsi="宋体"/>
                <w:color w:val="auto"/>
                <w:sz w:val="24"/>
                <w:szCs w:val="24"/>
                <w:highlight w:val="none"/>
              </w:rPr>
            </w:pPr>
          </w:p>
        </w:tc>
        <w:tc>
          <w:tcPr>
            <w:tcW w:w="2625" w:type="dxa"/>
            <w:tcBorders>
              <w:top w:val="single" w:color="auto" w:sz="2" w:space="0"/>
            </w:tcBorders>
            <w:vAlign w:val="center"/>
          </w:tcPr>
          <w:p>
            <w:pPr>
              <w:spacing w:line="360" w:lineRule="auto"/>
              <w:ind w:firstLine="600"/>
              <w:jc w:val="center"/>
              <w:rPr>
                <w:rFonts w:ascii="宋体" w:hAnsi="宋体"/>
                <w:color w:val="auto"/>
                <w:sz w:val="24"/>
                <w:szCs w:val="24"/>
                <w:highlight w:val="none"/>
              </w:rPr>
            </w:pPr>
          </w:p>
        </w:tc>
        <w:tc>
          <w:tcPr>
            <w:tcW w:w="1890" w:type="dxa"/>
            <w:tcBorders>
              <w:top w:val="single" w:color="auto" w:sz="2" w:space="0"/>
              <w:right w:val="single" w:color="auto" w:sz="4" w:space="0"/>
            </w:tcBorders>
            <w:vAlign w:val="center"/>
          </w:tcPr>
          <w:p>
            <w:pPr>
              <w:spacing w:line="360" w:lineRule="auto"/>
              <w:ind w:firstLine="600"/>
              <w:jc w:val="center"/>
              <w:rPr>
                <w:rFonts w:ascii="宋体" w:hAnsi="宋体"/>
                <w:color w:val="auto"/>
                <w:sz w:val="24"/>
                <w:szCs w:val="24"/>
                <w:highlight w:val="none"/>
              </w:rPr>
            </w:pPr>
          </w:p>
        </w:tc>
        <w:tc>
          <w:tcPr>
            <w:tcW w:w="1995" w:type="dxa"/>
            <w:tcBorders>
              <w:top w:val="single" w:color="auto" w:sz="2" w:space="0"/>
              <w:left w:val="single" w:color="auto" w:sz="4" w:space="0"/>
            </w:tcBorders>
            <w:vAlign w:val="center"/>
          </w:tcPr>
          <w:p>
            <w:pPr>
              <w:spacing w:line="360" w:lineRule="auto"/>
              <w:ind w:firstLine="600"/>
              <w:jc w:val="center"/>
              <w:rPr>
                <w:rFonts w:ascii="宋体" w:hAns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trPr>
        <w:tc>
          <w:tcPr>
            <w:tcW w:w="1419" w:type="dxa"/>
            <w:vMerge w:val="restart"/>
            <w:tcBorders>
              <w:top w:val="single" w:color="auto" w:sz="2" w:space="0"/>
            </w:tcBorders>
            <w:vAlign w:val="center"/>
          </w:tcPr>
          <w:p>
            <w:pPr>
              <w:tabs>
                <w:tab w:val="left" w:pos="591"/>
              </w:tabs>
              <w:spacing w:line="360" w:lineRule="auto"/>
              <w:jc w:val="left"/>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调试人员</w:t>
            </w:r>
          </w:p>
        </w:tc>
        <w:tc>
          <w:tcPr>
            <w:tcW w:w="1002" w:type="dxa"/>
            <w:tcBorders>
              <w:top w:val="single" w:color="auto" w:sz="2" w:space="0"/>
            </w:tcBorders>
            <w:vAlign w:val="center"/>
          </w:tcPr>
          <w:p>
            <w:pPr>
              <w:spacing w:line="360" w:lineRule="auto"/>
              <w:ind w:firstLine="600"/>
              <w:jc w:val="center"/>
              <w:rPr>
                <w:rFonts w:ascii="宋体" w:hAnsi="宋体"/>
                <w:color w:val="auto"/>
                <w:sz w:val="24"/>
                <w:szCs w:val="24"/>
                <w:highlight w:val="none"/>
              </w:rPr>
            </w:pPr>
          </w:p>
        </w:tc>
        <w:tc>
          <w:tcPr>
            <w:tcW w:w="1260" w:type="dxa"/>
            <w:tcBorders>
              <w:top w:val="single" w:color="auto" w:sz="2" w:space="0"/>
            </w:tcBorders>
            <w:vAlign w:val="top"/>
          </w:tcPr>
          <w:p>
            <w:pPr>
              <w:spacing w:line="360" w:lineRule="auto"/>
              <w:ind w:firstLine="921" w:firstLineChars="384"/>
              <w:jc w:val="center"/>
              <w:rPr>
                <w:rFonts w:ascii="宋体" w:hAnsi="宋体"/>
                <w:color w:val="auto"/>
                <w:sz w:val="24"/>
                <w:szCs w:val="24"/>
                <w:highlight w:val="none"/>
              </w:rPr>
            </w:pPr>
          </w:p>
        </w:tc>
        <w:tc>
          <w:tcPr>
            <w:tcW w:w="1575" w:type="dxa"/>
            <w:tcBorders>
              <w:top w:val="single" w:color="auto" w:sz="2" w:space="0"/>
            </w:tcBorders>
            <w:vAlign w:val="center"/>
          </w:tcPr>
          <w:p>
            <w:pPr>
              <w:spacing w:line="360" w:lineRule="auto"/>
              <w:ind w:firstLine="921" w:firstLineChars="384"/>
              <w:jc w:val="center"/>
              <w:rPr>
                <w:rFonts w:ascii="宋体" w:hAnsi="宋体"/>
                <w:color w:val="auto"/>
                <w:sz w:val="24"/>
                <w:szCs w:val="24"/>
                <w:highlight w:val="none"/>
              </w:rPr>
            </w:pPr>
          </w:p>
        </w:tc>
        <w:tc>
          <w:tcPr>
            <w:tcW w:w="1365" w:type="dxa"/>
            <w:tcBorders>
              <w:top w:val="single" w:color="auto" w:sz="2" w:space="0"/>
            </w:tcBorders>
            <w:vAlign w:val="center"/>
          </w:tcPr>
          <w:p>
            <w:pPr>
              <w:spacing w:line="360" w:lineRule="auto"/>
              <w:jc w:val="center"/>
              <w:rPr>
                <w:rFonts w:ascii="宋体" w:hAnsi="宋体"/>
                <w:color w:val="auto"/>
                <w:sz w:val="24"/>
                <w:szCs w:val="24"/>
                <w:highlight w:val="none"/>
              </w:rPr>
            </w:pPr>
          </w:p>
        </w:tc>
        <w:tc>
          <w:tcPr>
            <w:tcW w:w="2625" w:type="dxa"/>
            <w:tcBorders>
              <w:top w:val="single" w:color="auto" w:sz="2" w:space="0"/>
            </w:tcBorders>
            <w:vAlign w:val="center"/>
          </w:tcPr>
          <w:p>
            <w:pPr>
              <w:spacing w:line="360" w:lineRule="auto"/>
              <w:ind w:firstLine="600"/>
              <w:jc w:val="center"/>
              <w:rPr>
                <w:rFonts w:ascii="宋体" w:hAnsi="宋体"/>
                <w:color w:val="auto"/>
                <w:sz w:val="24"/>
                <w:szCs w:val="24"/>
                <w:highlight w:val="none"/>
              </w:rPr>
            </w:pPr>
          </w:p>
        </w:tc>
        <w:tc>
          <w:tcPr>
            <w:tcW w:w="1890" w:type="dxa"/>
            <w:tcBorders>
              <w:top w:val="single" w:color="auto" w:sz="2" w:space="0"/>
              <w:right w:val="single" w:color="auto" w:sz="4" w:space="0"/>
            </w:tcBorders>
            <w:vAlign w:val="center"/>
          </w:tcPr>
          <w:p>
            <w:pPr>
              <w:spacing w:line="360" w:lineRule="auto"/>
              <w:ind w:firstLine="600"/>
              <w:jc w:val="center"/>
              <w:rPr>
                <w:rFonts w:ascii="宋体" w:hAnsi="宋体"/>
                <w:color w:val="auto"/>
                <w:sz w:val="24"/>
                <w:szCs w:val="24"/>
                <w:highlight w:val="none"/>
              </w:rPr>
            </w:pPr>
          </w:p>
        </w:tc>
        <w:tc>
          <w:tcPr>
            <w:tcW w:w="1995" w:type="dxa"/>
            <w:tcBorders>
              <w:top w:val="single" w:color="auto" w:sz="2" w:space="0"/>
              <w:left w:val="single" w:color="auto" w:sz="4" w:space="0"/>
            </w:tcBorders>
            <w:vAlign w:val="center"/>
          </w:tcPr>
          <w:p>
            <w:pPr>
              <w:spacing w:line="360" w:lineRule="auto"/>
              <w:ind w:firstLine="600"/>
              <w:jc w:val="center"/>
              <w:rPr>
                <w:rFonts w:ascii="宋体" w:hAns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trPr>
        <w:tc>
          <w:tcPr>
            <w:tcW w:w="1419" w:type="dxa"/>
            <w:vMerge w:val="continue"/>
            <w:vAlign w:val="center"/>
          </w:tcPr>
          <w:p>
            <w:pPr>
              <w:spacing w:line="360" w:lineRule="auto"/>
              <w:jc w:val="center"/>
              <w:rPr>
                <w:rFonts w:ascii="宋体" w:hAnsi="宋体"/>
                <w:color w:val="auto"/>
                <w:sz w:val="24"/>
                <w:szCs w:val="24"/>
                <w:highlight w:val="none"/>
              </w:rPr>
            </w:pPr>
          </w:p>
        </w:tc>
        <w:tc>
          <w:tcPr>
            <w:tcW w:w="1002" w:type="dxa"/>
            <w:tcBorders>
              <w:top w:val="single" w:color="auto" w:sz="2" w:space="0"/>
            </w:tcBorders>
            <w:vAlign w:val="center"/>
          </w:tcPr>
          <w:p>
            <w:pPr>
              <w:spacing w:line="360" w:lineRule="auto"/>
              <w:ind w:firstLine="600"/>
              <w:jc w:val="center"/>
              <w:rPr>
                <w:rFonts w:ascii="宋体" w:hAnsi="宋体"/>
                <w:color w:val="auto"/>
                <w:sz w:val="24"/>
                <w:szCs w:val="24"/>
                <w:highlight w:val="none"/>
              </w:rPr>
            </w:pPr>
          </w:p>
        </w:tc>
        <w:tc>
          <w:tcPr>
            <w:tcW w:w="1260" w:type="dxa"/>
            <w:tcBorders>
              <w:top w:val="single" w:color="auto" w:sz="2" w:space="0"/>
            </w:tcBorders>
            <w:vAlign w:val="top"/>
          </w:tcPr>
          <w:p>
            <w:pPr>
              <w:spacing w:line="360" w:lineRule="auto"/>
              <w:ind w:firstLine="921" w:firstLineChars="384"/>
              <w:jc w:val="center"/>
              <w:rPr>
                <w:rFonts w:ascii="宋体" w:hAnsi="宋体"/>
                <w:color w:val="auto"/>
                <w:sz w:val="24"/>
                <w:szCs w:val="24"/>
                <w:highlight w:val="none"/>
              </w:rPr>
            </w:pPr>
          </w:p>
        </w:tc>
        <w:tc>
          <w:tcPr>
            <w:tcW w:w="1575" w:type="dxa"/>
            <w:tcBorders>
              <w:top w:val="single" w:color="auto" w:sz="2" w:space="0"/>
            </w:tcBorders>
            <w:vAlign w:val="center"/>
          </w:tcPr>
          <w:p>
            <w:pPr>
              <w:spacing w:line="360" w:lineRule="auto"/>
              <w:ind w:firstLine="921" w:firstLineChars="384"/>
              <w:jc w:val="center"/>
              <w:rPr>
                <w:rFonts w:ascii="宋体" w:hAnsi="宋体"/>
                <w:color w:val="auto"/>
                <w:sz w:val="24"/>
                <w:szCs w:val="24"/>
                <w:highlight w:val="none"/>
              </w:rPr>
            </w:pPr>
          </w:p>
        </w:tc>
        <w:tc>
          <w:tcPr>
            <w:tcW w:w="1365" w:type="dxa"/>
            <w:tcBorders>
              <w:top w:val="single" w:color="auto" w:sz="2" w:space="0"/>
            </w:tcBorders>
            <w:vAlign w:val="center"/>
          </w:tcPr>
          <w:p>
            <w:pPr>
              <w:spacing w:line="360" w:lineRule="auto"/>
              <w:jc w:val="center"/>
              <w:rPr>
                <w:rFonts w:ascii="宋体" w:hAnsi="宋体"/>
                <w:color w:val="auto"/>
                <w:sz w:val="24"/>
                <w:szCs w:val="24"/>
                <w:highlight w:val="none"/>
              </w:rPr>
            </w:pPr>
          </w:p>
        </w:tc>
        <w:tc>
          <w:tcPr>
            <w:tcW w:w="2625" w:type="dxa"/>
            <w:tcBorders>
              <w:top w:val="single" w:color="auto" w:sz="2" w:space="0"/>
            </w:tcBorders>
            <w:vAlign w:val="center"/>
          </w:tcPr>
          <w:p>
            <w:pPr>
              <w:spacing w:line="360" w:lineRule="auto"/>
              <w:ind w:firstLine="600"/>
              <w:jc w:val="center"/>
              <w:rPr>
                <w:rFonts w:ascii="宋体" w:hAnsi="宋体"/>
                <w:color w:val="auto"/>
                <w:sz w:val="24"/>
                <w:szCs w:val="24"/>
                <w:highlight w:val="none"/>
              </w:rPr>
            </w:pPr>
          </w:p>
        </w:tc>
        <w:tc>
          <w:tcPr>
            <w:tcW w:w="1890" w:type="dxa"/>
            <w:tcBorders>
              <w:top w:val="single" w:color="auto" w:sz="2" w:space="0"/>
              <w:right w:val="single" w:color="auto" w:sz="4" w:space="0"/>
            </w:tcBorders>
            <w:vAlign w:val="center"/>
          </w:tcPr>
          <w:p>
            <w:pPr>
              <w:spacing w:line="360" w:lineRule="auto"/>
              <w:ind w:firstLine="600"/>
              <w:jc w:val="center"/>
              <w:rPr>
                <w:rFonts w:ascii="宋体" w:hAnsi="宋体"/>
                <w:color w:val="auto"/>
                <w:sz w:val="24"/>
                <w:szCs w:val="24"/>
                <w:highlight w:val="none"/>
              </w:rPr>
            </w:pPr>
          </w:p>
        </w:tc>
        <w:tc>
          <w:tcPr>
            <w:tcW w:w="1995" w:type="dxa"/>
            <w:tcBorders>
              <w:top w:val="single" w:color="auto" w:sz="2" w:space="0"/>
              <w:left w:val="single" w:color="auto" w:sz="4" w:space="0"/>
            </w:tcBorders>
            <w:vAlign w:val="center"/>
          </w:tcPr>
          <w:p>
            <w:pPr>
              <w:spacing w:line="360" w:lineRule="auto"/>
              <w:ind w:firstLine="600"/>
              <w:jc w:val="center"/>
              <w:rPr>
                <w:rFonts w:ascii="宋体" w:hAns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trPr>
        <w:tc>
          <w:tcPr>
            <w:tcW w:w="1419" w:type="dxa"/>
            <w:vMerge w:val="restart"/>
            <w:tcBorders>
              <w:top w:val="single" w:color="auto" w:sz="2"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培训人员</w:t>
            </w:r>
          </w:p>
        </w:tc>
        <w:tc>
          <w:tcPr>
            <w:tcW w:w="1002" w:type="dxa"/>
            <w:tcBorders>
              <w:top w:val="single" w:color="auto" w:sz="2" w:space="0"/>
            </w:tcBorders>
            <w:vAlign w:val="center"/>
          </w:tcPr>
          <w:p>
            <w:pPr>
              <w:spacing w:line="360" w:lineRule="auto"/>
              <w:ind w:firstLine="600"/>
              <w:jc w:val="center"/>
              <w:rPr>
                <w:rFonts w:ascii="宋体" w:hAnsi="宋体"/>
                <w:color w:val="auto"/>
                <w:sz w:val="24"/>
                <w:szCs w:val="24"/>
                <w:highlight w:val="none"/>
              </w:rPr>
            </w:pPr>
          </w:p>
        </w:tc>
        <w:tc>
          <w:tcPr>
            <w:tcW w:w="1260" w:type="dxa"/>
            <w:tcBorders>
              <w:top w:val="single" w:color="auto" w:sz="2" w:space="0"/>
            </w:tcBorders>
            <w:vAlign w:val="top"/>
          </w:tcPr>
          <w:p>
            <w:pPr>
              <w:spacing w:line="360" w:lineRule="auto"/>
              <w:ind w:firstLine="921" w:firstLineChars="384"/>
              <w:jc w:val="center"/>
              <w:rPr>
                <w:rFonts w:ascii="宋体" w:hAnsi="宋体"/>
                <w:color w:val="auto"/>
                <w:sz w:val="24"/>
                <w:szCs w:val="24"/>
                <w:highlight w:val="none"/>
              </w:rPr>
            </w:pPr>
          </w:p>
        </w:tc>
        <w:tc>
          <w:tcPr>
            <w:tcW w:w="1575" w:type="dxa"/>
            <w:tcBorders>
              <w:top w:val="single" w:color="auto" w:sz="2" w:space="0"/>
            </w:tcBorders>
            <w:vAlign w:val="center"/>
          </w:tcPr>
          <w:p>
            <w:pPr>
              <w:spacing w:line="360" w:lineRule="auto"/>
              <w:ind w:firstLine="921" w:firstLineChars="384"/>
              <w:jc w:val="center"/>
              <w:rPr>
                <w:rFonts w:ascii="宋体" w:hAnsi="宋体"/>
                <w:color w:val="auto"/>
                <w:sz w:val="24"/>
                <w:szCs w:val="24"/>
                <w:highlight w:val="none"/>
              </w:rPr>
            </w:pPr>
          </w:p>
        </w:tc>
        <w:tc>
          <w:tcPr>
            <w:tcW w:w="1365" w:type="dxa"/>
            <w:tcBorders>
              <w:top w:val="single" w:color="auto" w:sz="2" w:space="0"/>
            </w:tcBorders>
            <w:vAlign w:val="center"/>
          </w:tcPr>
          <w:p>
            <w:pPr>
              <w:spacing w:line="360" w:lineRule="auto"/>
              <w:jc w:val="center"/>
              <w:rPr>
                <w:rFonts w:ascii="宋体" w:hAnsi="宋体"/>
                <w:color w:val="auto"/>
                <w:sz w:val="24"/>
                <w:szCs w:val="24"/>
                <w:highlight w:val="none"/>
              </w:rPr>
            </w:pPr>
          </w:p>
        </w:tc>
        <w:tc>
          <w:tcPr>
            <w:tcW w:w="2625" w:type="dxa"/>
            <w:tcBorders>
              <w:top w:val="single" w:color="auto" w:sz="2" w:space="0"/>
            </w:tcBorders>
            <w:vAlign w:val="center"/>
          </w:tcPr>
          <w:p>
            <w:pPr>
              <w:spacing w:line="360" w:lineRule="auto"/>
              <w:ind w:firstLine="600"/>
              <w:jc w:val="center"/>
              <w:rPr>
                <w:rFonts w:ascii="宋体" w:hAnsi="宋体"/>
                <w:color w:val="auto"/>
                <w:sz w:val="24"/>
                <w:szCs w:val="24"/>
                <w:highlight w:val="none"/>
              </w:rPr>
            </w:pPr>
          </w:p>
        </w:tc>
        <w:tc>
          <w:tcPr>
            <w:tcW w:w="1890" w:type="dxa"/>
            <w:tcBorders>
              <w:top w:val="single" w:color="auto" w:sz="2" w:space="0"/>
              <w:right w:val="single" w:color="auto" w:sz="4" w:space="0"/>
            </w:tcBorders>
            <w:vAlign w:val="center"/>
          </w:tcPr>
          <w:p>
            <w:pPr>
              <w:spacing w:line="360" w:lineRule="auto"/>
              <w:ind w:firstLine="600"/>
              <w:jc w:val="center"/>
              <w:rPr>
                <w:rFonts w:ascii="宋体" w:hAnsi="宋体"/>
                <w:color w:val="auto"/>
                <w:sz w:val="24"/>
                <w:szCs w:val="24"/>
                <w:highlight w:val="none"/>
              </w:rPr>
            </w:pPr>
          </w:p>
        </w:tc>
        <w:tc>
          <w:tcPr>
            <w:tcW w:w="1995" w:type="dxa"/>
            <w:tcBorders>
              <w:top w:val="single" w:color="auto" w:sz="2" w:space="0"/>
              <w:left w:val="single" w:color="auto" w:sz="4" w:space="0"/>
            </w:tcBorders>
            <w:vAlign w:val="center"/>
          </w:tcPr>
          <w:p>
            <w:pPr>
              <w:spacing w:line="360" w:lineRule="auto"/>
              <w:ind w:firstLine="600"/>
              <w:jc w:val="center"/>
              <w:rPr>
                <w:rFonts w:ascii="宋体" w:hAns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trPr>
        <w:tc>
          <w:tcPr>
            <w:tcW w:w="1419" w:type="dxa"/>
            <w:vMerge w:val="continue"/>
            <w:vAlign w:val="center"/>
          </w:tcPr>
          <w:p>
            <w:pPr>
              <w:spacing w:line="360" w:lineRule="auto"/>
              <w:jc w:val="center"/>
              <w:rPr>
                <w:rFonts w:ascii="宋体" w:hAnsi="宋体"/>
                <w:color w:val="auto"/>
                <w:sz w:val="24"/>
                <w:szCs w:val="24"/>
                <w:highlight w:val="none"/>
              </w:rPr>
            </w:pPr>
          </w:p>
        </w:tc>
        <w:tc>
          <w:tcPr>
            <w:tcW w:w="1002" w:type="dxa"/>
            <w:tcBorders>
              <w:top w:val="single" w:color="auto" w:sz="2" w:space="0"/>
            </w:tcBorders>
            <w:vAlign w:val="center"/>
          </w:tcPr>
          <w:p>
            <w:pPr>
              <w:spacing w:line="360" w:lineRule="auto"/>
              <w:ind w:firstLine="600"/>
              <w:jc w:val="center"/>
              <w:rPr>
                <w:rFonts w:ascii="宋体" w:hAnsi="宋体"/>
                <w:color w:val="auto"/>
                <w:sz w:val="24"/>
                <w:szCs w:val="24"/>
                <w:highlight w:val="none"/>
              </w:rPr>
            </w:pPr>
          </w:p>
        </w:tc>
        <w:tc>
          <w:tcPr>
            <w:tcW w:w="1260" w:type="dxa"/>
            <w:tcBorders>
              <w:top w:val="single" w:color="auto" w:sz="2" w:space="0"/>
            </w:tcBorders>
            <w:vAlign w:val="top"/>
          </w:tcPr>
          <w:p>
            <w:pPr>
              <w:spacing w:line="360" w:lineRule="auto"/>
              <w:ind w:firstLine="921" w:firstLineChars="384"/>
              <w:jc w:val="center"/>
              <w:rPr>
                <w:rFonts w:ascii="宋体" w:hAnsi="宋体"/>
                <w:color w:val="auto"/>
                <w:sz w:val="24"/>
                <w:szCs w:val="24"/>
                <w:highlight w:val="none"/>
              </w:rPr>
            </w:pPr>
          </w:p>
        </w:tc>
        <w:tc>
          <w:tcPr>
            <w:tcW w:w="1575" w:type="dxa"/>
            <w:tcBorders>
              <w:top w:val="single" w:color="auto" w:sz="2" w:space="0"/>
            </w:tcBorders>
            <w:vAlign w:val="center"/>
          </w:tcPr>
          <w:p>
            <w:pPr>
              <w:spacing w:line="360" w:lineRule="auto"/>
              <w:ind w:firstLine="921" w:firstLineChars="384"/>
              <w:jc w:val="center"/>
              <w:rPr>
                <w:rFonts w:ascii="宋体" w:hAnsi="宋体"/>
                <w:color w:val="auto"/>
                <w:sz w:val="24"/>
                <w:szCs w:val="24"/>
                <w:highlight w:val="none"/>
              </w:rPr>
            </w:pPr>
          </w:p>
        </w:tc>
        <w:tc>
          <w:tcPr>
            <w:tcW w:w="1365" w:type="dxa"/>
            <w:tcBorders>
              <w:top w:val="single" w:color="auto" w:sz="2" w:space="0"/>
            </w:tcBorders>
            <w:vAlign w:val="center"/>
          </w:tcPr>
          <w:p>
            <w:pPr>
              <w:spacing w:line="360" w:lineRule="auto"/>
              <w:jc w:val="center"/>
              <w:rPr>
                <w:rFonts w:ascii="宋体" w:hAnsi="宋体"/>
                <w:color w:val="auto"/>
                <w:sz w:val="24"/>
                <w:szCs w:val="24"/>
                <w:highlight w:val="none"/>
              </w:rPr>
            </w:pPr>
          </w:p>
        </w:tc>
        <w:tc>
          <w:tcPr>
            <w:tcW w:w="2625" w:type="dxa"/>
            <w:tcBorders>
              <w:top w:val="single" w:color="auto" w:sz="2" w:space="0"/>
            </w:tcBorders>
            <w:vAlign w:val="center"/>
          </w:tcPr>
          <w:p>
            <w:pPr>
              <w:spacing w:line="360" w:lineRule="auto"/>
              <w:ind w:firstLine="600"/>
              <w:jc w:val="center"/>
              <w:rPr>
                <w:rFonts w:ascii="宋体" w:hAnsi="宋体"/>
                <w:color w:val="auto"/>
                <w:sz w:val="24"/>
                <w:szCs w:val="24"/>
                <w:highlight w:val="none"/>
              </w:rPr>
            </w:pPr>
          </w:p>
        </w:tc>
        <w:tc>
          <w:tcPr>
            <w:tcW w:w="1890" w:type="dxa"/>
            <w:tcBorders>
              <w:top w:val="single" w:color="auto" w:sz="2" w:space="0"/>
              <w:right w:val="single" w:color="auto" w:sz="4" w:space="0"/>
            </w:tcBorders>
            <w:vAlign w:val="center"/>
          </w:tcPr>
          <w:p>
            <w:pPr>
              <w:spacing w:line="360" w:lineRule="auto"/>
              <w:ind w:firstLine="600"/>
              <w:jc w:val="center"/>
              <w:rPr>
                <w:rFonts w:ascii="宋体" w:hAnsi="宋体"/>
                <w:color w:val="auto"/>
                <w:sz w:val="24"/>
                <w:szCs w:val="24"/>
                <w:highlight w:val="none"/>
              </w:rPr>
            </w:pPr>
          </w:p>
        </w:tc>
        <w:tc>
          <w:tcPr>
            <w:tcW w:w="1995" w:type="dxa"/>
            <w:tcBorders>
              <w:top w:val="single" w:color="auto" w:sz="2" w:space="0"/>
              <w:left w:val="single" w:color="auto" w:sz="4" w:space="0"/>
            </w:tcBorders>
            <w:vAlign w:val="center"/>
          </w:tcPr>
          <w:p>
            <w:pPr>
              <w:spacing w:line="360" w:lineRule="auto"/>
              <w:ind w:firstLine="600"/>
              <w:jc w:val="center"/>
              <w:rPr>
                <w:rFonts w:ascii="宋体" w:hAns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trPr>
        <w:tc>
          <w:tcPr>
            <w:tcW w:w="1419" w:type="dxa"/>
            <w:tcBorders>
              <w:top w:val="single" w:color="auto" w:sz="2"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售后服务人员</w:t>
            </w:r>
          </w:p>
        </w:tc>
        <w:tc>
          <w:tcPr>
            <w:tcW w:w="1002" w:type="dxa"/>
            <w:tcBorders>
              <w:top w:val="single" w:color="auto" w:sz="2" w:space="0"/>
            </w:tcBorders>
            <w:vAlign w:val="center"/>
          </w:tcPr>
          <w:p>
            <w:pPr>
              <w:spacing w:line="360" w:lineRule="auto"/>
              <w:ind w:firstLine="600"/>
              <w:jc w:val="center"/>
              <w:rPr>
                <w:rFonts w:ascii="宋体" w:hAnsi="宋体"/>
                <w:color w:val="auto"/>
                <w:sz w:val="24"/>
                <w:szCs w:val="24"/>
                <w:highlight w:val="none"/>
              </w:rPr>
            </w:pPr>
          </w:p>
        </w:tc>
        <w:tc>
          <w:tcPr>
            <w:tcW w:w="1260" w:type="dxa"/>
            <w:tcBorders>
              <w:top w:val="single" w:color="auto" w:sz="2" w:space="0"/>
            </w:tcBorders>
            <w:vAlign w:val="top"/>
          </w:tcPr>
          <w:p>
            <w:pPr>
              <w:spacing w:line="360" w:lineRule="auto"/>
              <w:ind w:firstLine="921" w:firstLineChars="384"/>
              <w:jc w:val="center"/>
              <w:rPr>
                <w:rFonts w:ascii="宋体" w:hAnsi="宋体"/>
                <w:color w:val="auto"/>
                <w:sz w:val="24"/>
                <w:szCs w:val="24"/>
                <w:highlight w:val="none"/>
              </w:rPr>
            </w:pPr>
          </w:p>
        </w:tc>
        <w:tc>
          <w:tcPr>
            <w:tcW w:w="1575" w:type="dxa"/>
            <w:tcBorders>
              <w:top w:val="single" w:color="auto" w:sz="2" w:space="0"/>
            </w:tcBorders>
            <w:vAlign w:val="center"/>
          </w:tcPr>
          <w:p>
            <w:pPr>
              <w:spacing w:line="360" w:lineRule="auto"/>
              <w:ind w:firstLine="921" w:firstLineChars="384"/>
              <w:jc w:val="center"/>
              <w:rPr>
                <w:rFonts w:ascii="宋体" w:hAnsi="宋体"/>
                <w:color w:val="auto"/>
                <w:sz w:val="24"/>
                <w:szCs w:val="24"/>
                <w:highlight w:val="none"/>
              </w:rPr>
            </w:pPr>
          </w:p>
        </w:tc>
        <w:tc>
          <w:tcPr>
            <w:tcW w:w="1365" w:type="dxa"/>
            <w:tcBorders>
              <w:top w:val="single" w:color="auto" w:sz="2" w:space="0"/>
            </w:tcBorders>
            <w:vAlign w:val="center"/>
          </w:tcPr>
          <w:p>
            <w:pPr>
              <w:spacing w:line="360" w:lineRule="auto"/>
              <w:jc w:val="center"/>
              <w:rPr>
                <w:rFonts w:ascii="宋体" w:hAnsi="宋体"/>
                <w:color w:val="auto"/>
                <w:sz w:val="24"/>
                <w:szCs w:val="24"/>
                <w:highlight w:val="none"/>
              </w:rPr>
            </w:pPr>
          </w:p>
        </w:tc>
        <w:tc>
          <w:tcPr>
            <w:tcW w:w="2625" w:type="dxa"/>
            <w:tcBorders>
              <w:top w:val="single" w:color="auto" w:sz="2" w:space="0"/>
            </w:tcBorders>
            <w:vAlign w:val="center"/>
          </w:tcPr>
          <w:p>
            <w:pPr>
              <w:spacing w:line="360" w:lineRule="auto"/>
              <w:ind w:firstLine="600"/>
              <w:jc w:val="center"/>
              <w:rPr>
                <w:rFonts w:ascii="宋体" w:hAnsi="宋体"/>
                <w:color w:val="auto"/>
                <w:sz w:val="24"/>
                <w:szCs w:val="24"/>
                <w:highlight w:val="none"/>
              </w:rPr>
            </w:pPr>
          </w:p>
        </w:tc>
        <w:tc>
          <w:tcPr>
            <w:tcW w:w="1890" w:type="dxa"/>
            <w:tcBorders>
              <w:top w:val="single" w:color="auto" w:sz="2" w:space="0"/>
              <w:right w:val="single" w:color="auto" w:sz="4" w:space="0"/>
            </w:tcBorders>
            <w:vAlign w:val="center"/>
          </w:tcPr>
          <w:p>
            <w:pPr>
              <w:spacing w:line="360" w:lineRule="auto"/>
              <w:ind w:firstLine="600"/>
              <w:jc w:val="center"/>
              <w:rPr>
                <w:rFonts w:ascii="宋体" w:hAnsi="宋体"/>
                <w:color w:val="auto"/>
                <w:sz w:val="24"/>
                <w:szCs w:val="24"/>
                <w:highlight w:val="none"/>
              </w:rPr>
            </w:pPr>
          </w:p>
        </w:tc>
        <w:tc>
          <w:tcPr>
            <w:tcW w:w="1995" w:type="dxa"/>
            <w:tcBorders>
              <w:top w:val="single" w:color="auto" w:sz="2" w:space="0"/>
              <w:left w:val="single" w:color="auto" w:sz="4" w:space="0"/>
            </w:tcBorders>
            <w:vAlign w:val="center"/>
          </w:tcPr>
          <w:p>
            <w:pPr>
              <w:spacing w:line="360" w:lineRule="auto"/>
              <w:ind w:firstLine="600"/>
              <w:jc w:val="center"/>
              <w:rPr>
                <w:rFonts w:ascii="宋体" w:hAns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trPr>
        <w:tc>
          <w:tcPr>
            <w:tcW w:w="1419" w:type="dxa"/>
            <w:vMerge w:val="restart"/>
            <w:tcBorders>
              <w:top w:val="single" w:color="auto" w:sz="2" w:space="0"/>
            </w:tcBorders>
            <w:vAlign w:val="center"/>
          </w:tcPr>
          <w:p>
            <w:pPr>
              <w:spacing w:line="360" w:lineRule="auto"/>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w:t>
            </w:r>
          </w:p>
        </w:tc>
        <w:tc>
          <w:tcPr>
            <w:tcW w:w="1002" w:type="dxa"/>
            <w:tcBorders>
              <w:top w:val="single" w:color="auto" w:sz="2" w:space="0"/>
            </w:tcBorders>
            <w:vAlign w:val="center"/>
          </w:tcPr>
          <w:p>
            <w:pPr>
              <w:spacing w:line="360" w:lineRule="auto"/>
              <w:ind w:firstLine="600"/>
              <w:jc w:val="center"/>
              <w:rPr>
                <w:rFonts w:ascii="宋体" w:hAnsi="宋体"/>
                <w:color w:val="auto"/>
                <w:sz w:val="24"/>
                <w:szCs w:val="24"/>
                <w:highlight w:val="none"/>
              </w:rPr>
            </w:pPr>
          </w:p>
        </w:tc>
        <w:tc>
          <w:tcPr>
            <w:tcW w:w="1260" w:type="dxa"/>
            <w:tcBorders>
              <w:top w:val="single" w:color="auto" w:sz="2" w:space="0"/>
            </w:tcBorders>
            <w:vAlign w:val="top"/>
          </w:tcPr>
          <w:p>
            <w:pPr>
              <w:spacing w:line="360" w:lineRule="auto"/>
              <w:ind w:firstLine="921" w:firstLineChars="384"/>
              <w:jc w:val="center"/>
              <w:rPr>
                <w:rFonts w:ascii="宋体" w:hAnsi="宋体"/>
                <w:color w:val="auto"/>
                <w:sz w:val="24"/>
                <w:szCs w:val="24"/>
                <w:highlight w:val="none"/>
              </w:rPr>
            </w:pPr>
          </w:p>
        </w:tc>
        <w:tc>
          <w:tcPr>
            <w:tcW w:w="1575" w:type="dxa"/>
            <w:tcBorders>
              <w:top w:val="single" w:color="auto" w:sz="2" w:space="0"/>
            </w:tcBorders>
            <w:vAlign w:val="center"/>
          </w:tcPr>
          <w:p>
            <w:pPr>
              <w:spacing w:line="360" w:lineRule="auto"/>
              <w:ind w:firstLine="921" w:firstLineChars="384"/>
              <w:jc w:val="center"/>
              <w:rPr>
                <w:rFonts w:ascii="宋体" w:hAnsi="宋体"/>
                <w:color w:val="auto"/>
                <w:sz w:val="24"/>
                <w:szCs w:val="24"/>
                <w:highlight w:val="none"/>
              </w:rPr>
            </w:pPr>
          </w:p>
        </w:tc>
        <w:tc>
          <w:tcPr>
            <w:tcW w:w="1365" w:type="dxa"/>
            <w:tcBorders>
              <w:top w:val="single" w:color="auto" w:sz="2" w:space="0"/>
            </w:tcBorders>
            <w:vAlign w:val="center"/>
          </w:tcPr>
          <w:p>
            <w:pPr>
              <w:spacing w:line="360" w:lineRule="auto"/>
              <w:jc w:val="center"/>
              <w:rPr>
                <w:rFonts w:ascii="宋体" w:hAnsi="宋体"/>
                <w:color w:val="auto"/>
                <w:sz w:val="24"/>
                <w:szCs w:val="24"/>
                <w:highlight w:val="none"/>
              </w:rPr>
            </w:pPr>
          </w:p>
        </w:tc>
        <w:tc>
          <w:tcPr>
            <w:tcW w:w="2625" w:type="dxa"/>
            <w:tcBorders>
              <w:top w:val="single" w:color="auto" w:sz="2" w:space="0"/>
            </w:tcBorders>
            <w:vAlign w:val="center"/>
          </w:tcPr>
          <w:p>
            <w:pPr>
              <w:spacing w:line="360" w:lineRule="auto"/>
              <w:ind w:firstLine="600"/>
              <w:jc w:val="center"/>
              <w:rPr>
                <w:rFonts w:ascii="宋体" w:hAnsi="宋体"/>
                <w:color w:val="auto"/>
                <w:sz w:val="24"/>
                <w:szCs w:val="24"/>
                <w:highlight w:val="none"/>
              </w:rPr>
            </w:pPr>
          </w:p>
        </w:tc>
        <w:tc>
          <w:tcPr>
            <w:tcW w:w="1890" w:type="dxa"/>
            <w:tcBorders>
              <w:top w:val="single" w:color="auto" w:sz="2" w:space="0"/>
              <w:right w:val="single" w:color="auto" w:sz="4" w:space="0"/>
            </w:tcBorders>
            <w:vAlign w:val="center"/>
          </w:tcPr>
          <w:p>
            <w:pPr>
              <w:spacing w:line="360" w:lineRule="auto"/>
              <w:ind w:firstLine="600"/>
              <w:jc w:val="center"/>
              <w:rPr>
                <w:rFonts w:ascii="宋体" w:hAnsi="宋体"/>
                <w:color w:val="auto"/>
                <w:sz w:val="24"/>
                <w:szCs w:val="24"/>
                <w:highlight w:val="none"/>
              </w:rPr>
            </w:pPr>
          </w:p>
        </w:tc>
        <w:tc>
          <w:tcPr>
            <w:tcW w:w="1995" w:type="dxa"/>
            <w:tcBorders>
              <w:top w:val="single" w:color="auto" w:sz="2" w:space="0"/>
              <w:left w:val="single" w:color="auto" w:sz="4" w:space="0"/>
            </w:tcBorders>
            <w:vAlign w:val="center"/>
          </w:tcPr>
          <w:p>
            <w:pPr>
              <w:spacing w:line="360" w:lineRule="auto"/>
              <w:ind w:firstLine="600"/>
              <w:jc w:val="center"/>
              <w:rPr>
                <w:rFonts w:ascii="宋体" w:hAns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15" w:hRule="atLeast"/>
        </w:trPr>
        <w:tc>
          <w:tcPr>
            <w:tcW w:w="1419" w:type="dxa"/>
            <w:vMerge w:val="continue"/>
            <w:vAlign w:val="center"/>
          </w:tcPr>
          <w:p>
            <w:pPr>
              <w:spacing w:line="360" w:lineRule="auto"/>
              <w:jc w:val="center"/>
              <w:rPr>
                <w:rFonts w:ascii="宋体" w:hAnsi="宋体"/>
                <w:color w:val="auto"/>
                <w:sz w:val="24"/>
                <w:szCs w:val="24"/>
                <w:highlight w:val="none"/>
              </w:rPr>
            </w:pPr>
          </w:p>
        </w:tc>
        <w:tc>
          <w:tcPr>
            <w:tcW w:w="1002" w:type="dxa"/>
            <w:tcBorders>
              <w:top w:val="single" w:color="auto" w:sz="2" w:space="0"/>
            </w:tcBorders>
            <w:vAlign w:val="center"/>
          </w:tcPr>
          <w:p>
            <w:pPr>
              <w:spacing w:line="360" w:lineRule="auto"/>
              <w:ind w:firstLine="600"/>
              <w:jc w:val="center"/>
              <w:rPr>
                <w:rFonts w:ascii="宋体" w:hAnsi="宋体"/>
                <w:color w:val="auto"/>
                <w:sz w:val="24"/>
                <w:szCs w:val="24"/>
                <w:highlight w:val="none"/>
              </w:rPr>
            </w:pPr>
          </w:p>
        </w:tc>
        <w:tc>
          <w:tcPr>
            <w:tcW w:w="1260" w:type="dxa"/>
            <w:tcBorders>
              <w:top w:val="single" w:color="auto" w:sz="2" w:space="0"/>
            </w:tcBorders>
            <w:vAlign w:val="top"/>
          </w:tcPr>
          <w:p>
            <w:pPr>
              <w:spacing w:line="360" w:lineRule="auto"/>
              <w:ind w:firstLine="921" w:firstLineChars="384"/>
              <w:jc w:val="center"/>
              <w:rPr>
                <w:rFonts w:ascii="宋体" w:hAnsi="宋体"/>
                <w:color w:val="auto"/>
                <w:sz w:val="24"/>
                <w:szCs w:val="24"/>
                <w:highlight w:val="none"/>
              </w:rPr>
            </w:pPr>
          </w:p>
        </w:tc>
        <w:tc>
          <w:tcPr>
            <w:tcW w:w="1575" w:type="dxa"/>
            <w:tcBorders>
              <w:top w:val="single" w:color="auto" w:sz="2" w:space="0"/>
            </w:tcBorders>
            <w:vAlign w:val="center"/>
          </w:tcPr>
          <w:p>
            <w:pPr>
              <w:spacing w:line="360" w:lineRule="auto"/>
              <w:ind w:firstLine="921" w:firstLineChars="384"/>
              <w:jc w:val="center"/>
              <w:rPr>
                <w:rFonts w:ascii="宋体" w:hAnsi="宋体"/>
                <w:color w:val="auto"/>
                <w:sz w:val="24"/>
                <w:szCs w:val="24"/>
                <w:highlight w:val="none"/>
              </w:rPr>
            </w:pPr>
          </w:p>
        </w:tc>
        <w:tc>
          <w:tcPr>
            <w:tcW w:w="1365" w:type="dxa"/>
            <w:tcBorders>
              <w:top w:val="single" w:color="auto" w:sz="2" w:space="0"/>
            </w:tcBorders>
            <w:vAlign w:val="center"/>
          </w:tcPr>
          <w:p>
            <w:pPr>
              <w:spacing w:line="360" w:lineRule="auto"/>
              <w:jc w:val="center"/>
              <w:rPr>
                <w:rFonts w:ascii="宋体" w:hAnsi="宋体"/>
                <w:color w:val="auto"/>
                <w:sz w:val="24"/>
                <w:szCs w:val="24"/>
                <w:highlight w:val="none"/>
              </w:rPr>
            </w:pPr>
          </w:p>
        </w:tc>
        <w:tc>
          <w:tcPr>
            <w:tcW w:w="2625" w:type="dxa"/>
            <w:tcBorders>
              <w:top w:val="single" w:color="auto" w:sz="2" w:space="0"/>
            </w:tcBorders>
            <w:vAlign w:val="center"/>
          </w:tcPr>
          <w:p>
            <w:pPr>
              <w:spacing w:line="360" w:lineRule="auto"/>
              <w:ind w:firstLine="600"/>
              <w:jc w:val="center"/>
              <w:rPr>
                <w:rFonts w:ascii="宋体" w:hAnsi="宋体"/>
                <w:color w:val="auto"/>
                <w:sz w:val="24"/>
                <w:szCs w:val="24"/>
                <w:highlight w:val="none"/>
              </w:rPr>
            </w:pPr>
          </w:p>
        </w:tc>
        <w:tc>
          <w:tcPr>
            <w:tcW w:w="1890" w:type="dxa"/>
            <w:tcBorders>
              <w:top w:val="single" w:color="auto" w:sz="2" w:space="0"/>
              <w:right w:val="single" w:color="auto" w:sz="4" w:space="0"/>
            </w:tcBorders>
            <w:vAlign w:val="center"/>
          </w:tcPr>
          <w:p>
            <w:pPr>
              <w:spacing w:line="360" w:lineRule="auto"/>
              <w:ind w:firstLine="600"/>
              <w:jc w:val="center"/>
              <w:rPr>
                <w:rFonts w:ascii="宋体" w:hAnsi="宋体"/>
                <w:color w:val="auto"/>
                <w:sz w:val="24"/>
                <w:szCs w:val="24"/>
                <w:highlight w:val="none"/>
              </w:rPr>
            </w:pPr>
          </w:p>
        </w:tc>
        <w:tc>
          <w:tcPr>
            <w:tcW w:w="1995" w:type="dxa"/>
            <w:tcBorders>
              <w:top w:val="single" w:color="auto" w:sz="2" w:space="0"/>
              <w:left w:val="single" w:color="auto" w:sz="4" w:space="0"/>
            </w:tcBorders>
            <w:vAlign w:val="center"/>
          </w:tcPr>
          <w:p>
            <w:pPr>
              <w:spacing w:line="360" w:lineRule="auto"/>
              <w:ind w:firstLine="600"/>
              <w:jc w:val="center"/>
              <w:rPr>
                <w:rFonts w:ascii="宋体" w:hAnsi="宋体"/>
                <w:color w:val="auto"/>
                <w:sz w:val="24"/>
                <w:szCs w:val="24"/>
                <w:highlight w:val="none"/>
              </w:rPr>
            </w:pPr>
          </w:p>
        </w:tc>
      </w:tr>
    </w:tbl>
    <w:p>
      <w:pPr>
        <w:adjustRightInd w:val="0"/>
        <w:snapToGrid w:val="0"/>
        <w:spacing w:line="440" w:lineRule="exact"/>
        <w:rPr>
          <w:rFonts w:ascii="宋体" w:hAnsi="宋体"/>
          <w:color w:val="auto"/>
          <w:sz w:val="24"/>
          <w:highlight w:val="none"/>
        </w:rPr>
      </w:pPr>
      <w:r>
        <w:rPr>
          <w:rFonts w:hint="eastAsia" w:ascii="宋体" w:hAnsi="宋体"/>
          <w:b/>
          <w:color w:val="auto"/>
          <w:sz w:val="24"/>
          <w:szCs w:val="24"/>
          <w:highlight w:val="none"/>
        </w:rPr>
        <w:t>备注：</w:t>
      </w:r>
      <w:r>
        <w:rPr>
          <w:rFonts w:hint="eastAsia" w:ascii="宋体" w:hAnsi="宋体"/>
          <w:color w:val="auto"/>
          <w:sz w:val="24"/>
          <w:highlight w:val="none"/>
        </w:rPr>
        <w:t>上述人员的履历、学历、资质证书等资料的复印件请附后。</w:t>
      </w:r>
    </w:p>
    <w:p>
      <w:pPr>
        <w:adjustRightInd w:val="0"/>
        <w:snapToGrid w:val="0"/>
        <w:spacing w:line="440" w:lineRule="exact"/>
        <w:ind w:firstLine="235" w:firstLineChars="98"/>
        <w:rPr>
          <w:rFonts w:ascii="宋体" w:hAnsi="宋体"/>
          <w:color w:val="auto"/>
          <w:kern w:val="0"/>
          <w:sz w:val="24"/>
          <w:highlight w:val="none"/>
        </w:rPr>
      </w:pPr>
      <w:r>
        <w:rPr>
          <w:rFonts w:hint="eastAsia" w:ascii="宋体" w:hAnsi="宋体" w:cs="仿宋_GB2312"/>
          <w:color w:val="auto"/>
          <w:kern w:val="0"/>
          <w:sz w:val="24"/>
          <w:szCs w:val="24"/>
          <w:highlight w:val="none"/>
          <w:lang w:val="zh-CN"/>
        </w:rPr>
        <w:t xml:space="preserve">                                         </w:t>
      </w:r>
      <w:r>
        <w:rPr>
          <w:rFonts w:hint="eastAsia" w:ascii="宋体" w:hAnsi="宋体"/>
          <w:color w:val="auto"/>
          <w:kern w:val="0"/>
          <w:sz w:val="24"/>
          <w:highlight w:val="none"/>
        </w:rPr>
        <w:t>谈判响应方（公章）：</w:t>
      </w:r>
      <w:r>
        <w:rPr>
          <w:rFonts w:ascii="宋体" w:hAnsi="宋体"/>
          <w:color w:val="auto"/>
          <w:kern w:val="0"/>
          <w:sz w:val="24"/>
          <w:highlight w:val="none"/>
        </w:rPr>
        <w:t xml:space="preserve">      </w:t>
      </w:r>
    </w:p>
    <w:p>
      <w:pPr>
        <w:autoSpaceDE w:val="0"/>
        <w:autoSpaceDN w:val="0"/>
        <w:adjustRightInd w:val="0"/>
        <w:spacing w:line="440" w:lineRule="exact"/>
        <w:rPr>
          <w:rFonts w:ascii="宋体" w:hAnsi="宋体"/>
          <w:color w:val="auto"/>
          <w:kern w:val="0"/>
          <w:sz w:val="24"/>
          <w:highlight w:val="none"/>
        </w:rPr>
      </w:pPr>
      <w:r>
        <w:rPr>
          <w:rFonts w:ascii="宋体" w:hAnsi="宋体"/>
          <w:color w:val="auto"/>
          <w:kern w:val="0"/>
          <w:sz w:val="24"/>
          <w:highlight w:val="none"/>
        </w:rPr>
        <w:t xml:space="preserve">                                        </w:t>
      </w:r>
      <w:r>
        <w:rPr>
          <w:rFonts w:hint="eastAsia" w:ascii="宋体" w:hAnsi="宋体"/>
          <w:color w:val="auto"/>
          <w:kern w:val="0"/>
          <w:sz w:val="24"/>
          <w:highlight w:val="none"/>
        </w:rPr>
        <w:t xml:space="preserve">   法定代表人或授权代表（签字）：</w:t>
      </w:r>
      <w:r>
        <w:rPr>
          <w:rFonts w:ascii="宋体" w:hAnsi="宋体"/>
          <w:color w:val="auto"/>
          <w:kern w:val="0"/>
          <w:sz w:val="24"/>
          <w:highlight w:val="none"/>
        </w:rPr>
        <w:t xml:space="preserve"> </w:t>
      </w:r>
    </w:p>
    <w:p>
      <w:pPr>
        <w:autoSpaceDE w:val="0"/>
        <w:autoSpaceDN w:val="0"/>
        <w:adjustRightInd w:val="0"/>
        <w:spacing w:line="440" w:lineRule="exact"/>
        <w:rPr>
          <w:rFonts w:ascii="宋体" w:hAnsi="宋体"/>
          <w:color w:val="auto"/>
          <w:kern w:val="0"/>
          <w:sz w:val="24"/>
          <w:highlight w:val="none"/>
        </w:rPr>
      </w:pPr>
      <w:r>
        <w:rPr>
          <w:rFonts w:ascii="宋体" w:hAnsi="宋体"/>
          <w:color w:val="auto"/>
          <w:kern w:val="0"/>
          <w:sz w:val="24"/>
          <w:highlight w:val="none"/>
        </w:rPr>
        <w:t xml:space="preserve"> </w:t>
      </w:r>
      <w:r>
        <w:rPr>
          <w:rFonts w:hint="eastAsia" w:ascii="宋体" w:hAnsi="宋体"/>
          <w:color w:val="auto"/>
          <w:kern w:val="0"/>
          <w:sz w:val="24"/>
          <w:highlight w:val="none"/>
        </w:rPr>
        <w:t xml:space="preserve">                                         </w:t>
      </w:r>
      <w:r>
        <w:rPr>
          <w:rFonts w:ascii="宋体" w:hAnsi="宋体"/>
          <w:color w:val="auto"/>
          <w:kern w:val="0"/>
          <w:sz w:val="24"/>
          <w:highlight w:val="none"/>
        </w:rPr>
        <w:t xml:space="preserve"> </w:t>
      </w:r>
      <w:r>
        <w:rPr>
          <w:rFonts w:hint="eastAsia" w:ascii="宋体" w:hAnsi="宋体"/>
          <w:color w:val="auto"/>
          <w:kern w:val="0"/>
          <w:sz w:val="24"/>
          <w:highlight w:val="none"/>
        </w:rPr>
        <w:t>日期：</w:t>
      </w:r>
      <w:r>
        <w:rPr>
          <w:rFonts w:ascii="宋体" w:hAnsi="宋体"/>
          <w:color w:val="auto"/>
          <w:kern w:val="0"/>
          <w:sz w:val="24"/>
          <w:highlight w:val="none"/>
        </w:rPr>
        <w:t>20</w:t>
      </w:r>
      <w:r>
        <w:rPr>
          <w:rFonts w:hint="eastAsia" w:ascii="宋体" w:hAnsi="宋体"/>
          <w:color w:val="auto"/>
          <w:kern w:val="0"/>
          <w:sz w:val="24"/>
          <w:highlight w:val="none"/>
        </w:rPr>
        <w:t xml:space="preserve">  年</w:t>
      </w:r>
      <w:r>
        <w:rPr>
          <w:rFonts w:ascii="宋体" w:hAnsi="宋体"/>
          <w:color w:val="auto"/>
          <w:kern w:val="0"/>
          <w:sz w:val="24"/>
          <w:highlight w:val="none"/>
        </w:rPr>
        <w:t xml:space="preserve">  </w:t>
      </w:r>
      <w:r>
        <w:rPr>
          <w:rFonts w:hint="eastAsia" w:ascii="宋体" w:hAnsi="宋体"/>
          <w:color w:val="auto"/>
          <w:kern w:val="0"/>
          <w:sz w:val="24"/>
          <w:highlight w:val="none"/>
        </w:rPr>
        <w:t>月</w:t>
      </w:r>
      <w:r>
        <w:rPr>
          <w:rFonts w:ascii="宋体" w:hAnsi="宋体"/>
          <w:color w:val="auto"/>
          <w:kern w:val="0"/>
          <w:sz w:val="24"/>
          <w:highlight w:val="none"/>
        </w:rPr>
        <w:t xml:space="preserve">   </w:t>
      </w:r>
      <w:r>
        <w:rPr>
          <w:rFonts w:hint="eastAsia" w:ascii="宋体" w:hAnsi="宋体"/>
          <w:color w:val="auto"/>
          <w:kern w:val="0"/>
          <w:sz w:val="24"/>
          <w:highlight w:val="none"/>
        </w:rPr>
        <w:t>日</w:t>
      </w:r>
    </w:p>
    <w:p>
      <w:pPr>
        <w:autoSpaceDE w:val="0"/>
        <w:autoSpaceDN w:val="0"/>
        <w:adjustRightInd w:val="0"/>
        <w:spacing w:line="440" w:lineRule="exact"/>
        <w:jc w:val="right"/>
        <w:rPr>
          <w:rFonts w:ascii="宋体" w:hAnsi="宋体" w:cs="仿宋_GB2312"/>
          <w:color w:val="auto"/>
          <w:kern w:val="0"/>
          <w:sz w:val="24"/>
          <w:highlight w:val="none"/>
          <w:lang w:val="zh-CN"/>
        </w:rPr>
        <w:sectPr>
          <w:pgSz w:w="16838" w:h="11906" w:orient="landscape"/>
          <w:pgMar w:top="1304" w:right="1531" w:bottom="1361" w:left="1531" w:header="851" w:footer="601" w:gutter="0"/>
          <w:pgNumType w:fmt="numberInDash"/>
          <w:cols w:space="720" w:num="1"/>
          <w:docGrid w:type="linesAndChars" w:linePitch="312" w:charSpace="0"/>
        </w:sectPr>
      </w:pPr>
    </w:p>
    <w:p>
      <w:pPr>
        <w:autoSpaceDE w:val="0"/>
        <w:autoSpaceDN w:val="0"/>
        <w:adjustRightInd w:val="0"/>
        <w:spacing w:line="440" w:lineRule="exact"/>
        <w:jc w:val="center"/>
        <w:rPr>
          <w:rFonts w:ascii="宋体" w:hAnsi="宋体"/>
          <w:b/>
          <w:color w:val="auto"/>
          <w:kern w:val="0"/>
          <w:sz w:val="32"/>
          <w:szCs w:val="32"/>
          <w:highlight w:val="none"/>
        </w:rPr>
      </w:pPr>
      <w:bookmarkStart w:id="30" w:name="_Toc297472830"/>
      <w:bookmarkStart w:id="31" w:name="_Toc297472063"/>
      <w:r>
        <w:rPr>
          <w:rFonts w:hint="eastAsia" w:ascii="宋体" w:hAnsi="宋体"/>
          <w:b/>
          <w:color w:val="auto"/>
          <w:kern w:val="0"/>
          <w:sz w:val="32"/>
          <w:szCs w:val="32"/>
          <w:highlight w:val="none"/>
        </w:rPr>
        <w:t>八、响应服务计划表</w:t>
      </w:r>
    </w:p>
    <w:p>
      <w:pPr>
        <w:spacing w:line="440" w:lineRule="exact"/>
        <w:jc w:val="left"/>
        <w:rPr>
          <w:rFonts w:ascii="宋体" w:hAnsi="宋体" w:cs="仿宋_GB2312"/>
          <w:b/>
          <w:bCs/>
          <w:color w:val="auto"/>
          <w:kern w:val="0"/>
          <w:sz w:val="30"/>
          <w:szCs w:val="30"/>
          <w:highlight w:val="none"/>
          <w:lang w:val="zh-CN"/>
        </w:rPr>
      </w:pPr>
      <w:r>
        <w:rPr>
          <w:rFonts w:hint="eastAsia" w:ascii="宋体" w:hAnsi="宋体"/>
          <w:b/>
          <w:color w:val="auto"/>
          <w:sz w:val="24"/>
          <w:highlight w:val="none"/>
        </w:rPr>
        <w:t>项目编号：</w:t>
      </w:r>
      <w:r>
        <w:rPr>
          <w:rFonts w:hint="eastAsia" w:ascii="宋体" w:hAnsi="宋体"/>
          <w:b/>
          <w:color w:val="auto"/>
          <w:kern w:val="0"/>
          <w:sz w:val="24"/>
          <w:highlight w:val="none"/>
          <w:lang w:eastAsia="zh-CN"/>
        </w:rPr>
        <w:t>HZYHZFCG-2019-102</w:t>
      </w:r>
      <w:r>
        <w:rPr>
          <w:rFonts w:hint="eastAsia" w:ascii="宋体" w:hAnsi="宋体"/>
          <w:b/>
          <w:color w:val="auto"/>
          <w:kern w:val="0"/>
          <w:sz w:val="24"/>
          <w:highlight w:val="none"/>
        </w:rPr>
        <w:t xml:space="preserve"> </w:t>
      </w:r>
    </w:p>
    <w:tbl>
      <w:tblPr>
        <w:tblStyle w:val="31"/>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500"/>
        <w:gridCol w:w="206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828" w:type="dxa"/>
            <w:vAlign w:val="center"/>
          </w:tcPr>
          <w:p>
            <w:pPr>
              <w:pStyle w:val="12"/>
              <w:spacing w:before="120" w:after="120"/>
              <w:jc w:val="center"/>
              <w:rPr>
                <w:rFonts w:hAnsi="宋体"/>
                <w:b/>
                <w:color w:val="auto"/>
                <w:sz w:val="24"/>
                <w:szCs w:val="24"/>
                <w:highlight w:val="none"/>
              </w:rPr>
            </w:pPr>
            <w:r>
              <w:rPr>
                <w:rFonts w:hint="eastAsia" w:hAnsi="宋体"/>
                <w:b/>
                <w:color w:val="auto"/>
                <w:sz w:val="24"/>
                <w:szCs w:val="24"/>
                <w:highlight w:val="none"/>
              </w:rPr>
              <w:t>序号</w:t>
            </w:r>
          </w:p>
        </w:tc>
        <w:tc>
          <w:tcPr>
            <w:tcW w:w="4500" w:type="dxa"/>
            <w:vAlign w:val="center"/>
          </w:tcPr>
          <w:p>
            <w:pPr>
              <w:pStyle w:val="12"/>
              <w:spacing w:before="120" w:after="120"/>
              <w:jc w:val="center"/>
              <w:rPr>
                <w:rFonts w:hAnsi="宋体"/>
                <w:b/>
                <w:color w:val="auto"/>
                <w:sz w:val="24"/>
                <w:szCs w:val="24"/>
                <w:highlight w:val="none"/>
              </w:rPr>
            </w:pPr>
            <w:r>
              <w:rPr>
                <w:rFonts w:hint="eastAsia" w:hAnsi="宋体"/>
                <w:b/>
                <w:color w:val="auto"/>
                <w:sz w:val="24"/>
                <w:szCs w:val="24"/>
                <w:highlight w:val="none"/>
              </w:rPr>
              <w:t>质量保障措施及服务内容</w:t>
            </w:r>
          </w:p>
        </w:tc>
        <w:tc>
          <w:tcPr>
            <w:tcW w:w="2064" w:type="dxa"/>
            <w:vAlign w:val="center"/>
          </w:tcPr>
          <w:p>
            <w:pPr>
              <w:pStyle w:val="12"/>
              <w:spacing w:before="120" w:after="120"/>
              <w:jc w:val="center"/>
              <w:rPr>
                <w:rFonts w:hAnsi="宋体"/>
                <w:b/>
                <w:color w:val="auto"/>
                <w:sz w:val="24"/>
                <w:szCs w:val="24"/>
                <w:highlight w:val="none"/>
              </w:rPr>
            </w:pPr>
            <w:r>
              <w:rPr>
                <w:rFonts w:hint="eastAsia" w:hAnsi="宋体"/>
                <w:b/>
                <w:color w:val="auto"/>
                <w:sz w:val="24"/>
                <w:szCs w:val="24"/>
                <w:highlight w:val="none"/>
              </w:rPr>
              <w:t>承诺</w:t>
            </w:r>
          </w:p>
        </w:tc>
        <w:tc>
          <w:tcPr>
            <w:tcW w:w="1896" w:type="dxa"/>
            <w:vAlign w:val="center"/>
          </w:tcPr>
          <w:p>
            <w:pPr>
              <w:pStyle w:val="12"/>
              <w:spacing w:before="120" w:after="120"/>
              <w:jc w:val="center"/>
              <w:rPr>
                <w:rFonts w:hAnsi="宋体"/>
                <w:b/>
                <w:color w:val="auto"/>
                <w:sz w:val="24"/>
                <w:szCs w:val="24"/>
                <w:highlight w:val="none"/>
              </w:rPr>
            </w:pPr>
            <w:r>
              <w:rPr>
                <w:rFonts w:hint="eastAsia" w:hAnsi="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pStyle w:val="12"/>
              <w:spacing w:before="120" w:after="120"/>
              <w:jc w:val="center"/>
              <w:rPr>
                <w:rFonts w:hAnsi="宋体"/>
                <w:color w:val="auto"/>
                <w:sz w:val="24"/>
                <w:szCs w:val="24"/>
                <w:highlight w:val="none"/>
              </w:rPr>
            </w:pPr>
            <w:r>
              <w:rPr>
                <w:rFonts w:hint="eastAsia" w:hAnsi="宋体"/>
                <w:color w:val="auto"/>
                <w:sz w:val="24"/>
                <w:szCs w:val="24"/>
                <w:highlight w:val="none"/>
              </w:rPr>
              <w:t>1</w:t>
            </w:r>
          </w:p>
        </w:tc>
        <w:tc>
          <w:tcPr>
            <w:tcW w:w="4500" w:type="dxa"/>
            <w:vAlign w:val="center"/>
          </w:tcPr>
          <w:p>
            <w:pPr>
              <w:pStyle w:val="12"/>
              <w:spacing w:before="120" w:after="120"/>
              <w:rPr>
                <w:rFonts w:hAnsi="宋体"/>
                <w:color w:val="auto"/>
                <w:sz w:val="24"/>
                <w:szCs w:val="24"/>
                <w:highlight w:val="none"/>
              </w:rPr>
            </w:pPr>
            <w:r>
              <w:rPr>
                <w:rFonts w:hint="eastAsia" w:hAnsi="宋体"/>
                <w:color w:val="auto"/>
                <w:sz w:val="24"/>
                <w:szCs w:val="24"/>
                <w:highlight w:val="none"/>
              </w:rPr>
              <w:t>保修</w:t>
            </w:r>
          </w:p>
        </w:tc>
        <w:tc>
          <w:tcPr>
            <w:tcW w:w="2064" w:type="dxa"/>
            <w:vAlign w:val="top"/>
          </w:tcPr>
          <w:p>
            <w:pPr>
              <w:pStyle w:val="12"/>
              <w:spacing w:before="120" w:after="120"/>
              <w:rPr>
                <w:rFonts w:hAnsi="宋体"/>
                <w:color w:val="auto"/>
                <w:sz w:val="24"/>
                <w:szCs w:val="24"/>
                <w:highlight w:val="none"/>
              </w:rPr>
            </w:pPr>
          </w:p>
        </w:tc>
        <w:tc>
          <w:tcPr>
            <w:tcW w:w="1896" w:type="dxa"/>
            <w:vAlign w:val="top"/>
          </w:tcPr>
          <w:p>
            <w:pPr>
              <w:pStyle w:val="12"/>
              <w:spacing w:before="120" w:after="120"/>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pStyle w:val="12"/>
              <w:spacing w:before="120" w:after="120"/>
              <w:jc w:val="center"/>
              <w:rPr>
                <w:rFonts w:hAnsi="宋体"/>
                <w:color w:val="auto"/>
                <w:sz w:val="24"/>
                <w:szCs w:val="24"/>
                <w:highlight w:val="none"/>
              </w:rPr>
            </w:pPr>
            <w:r>
              <w:rPr>
                <w:rFonts w:hint="eastAsia" w:hAnsi="宋体"/>
                <w:color w:val="auto"/>
                <w:sz w:val="24"/>
                <w:szCs w:val="24"/>
                <w:highlight w:val="none"/>
              </w:rPr>
              <w:t>2</w:t>
            </w:r>
          </w:p>
        </w:tc>
        <w:tc>
          <w:tcPr>
            <w:tcW w:w="4500" w:type="dxa"/>
            <w:vAlign w:val="center"/>
          </w:tcPr>
          <w:p>
            <w:pPr>
              <w:pStyle w:val="12"/>
              <w:spacing w:before="120" w:after="120"/>
              <w:rPr>
                <w:rFonts w:hAnsi="宋体"/>
                <w:color w:val="auto"/>
                <w:sz w:val="24"/>
                <w:szCs w:val="24"/>
                <w:highlight w:val="none"/>
              </w:rPr>
            </w:pPr>
            <w:r>
              <w:rPr>
                <w:rFonts w:hint="eastAsia" w:hAnsi="宋体"/>
                <w:color w:val="auto"/>
                <w:sz w:val="24"/>
                <w:szCs w:val="24"/>
                <w:highlight w:val="none"/>
              </w:rPr>
              <w:t>有关技术人员现场免费提供安装、调试服务</w:t>
            </w:r>
          </w:p>
        </w:tc>
        <w:tc>
          <w:tcPr>
            <w:tcW w:w="2064" w:type="dxa"/>
            <w:vAlign w:val="top"/>
          </w:tcPr>
          <w:p>
            <w:pPr>
              <w:pStyle w:val="12"/>
              <w:spacing w:before="120" w:after="120"/>
              <w:rPr>
                <w:rFonts w:hAnsi="宋体"/>
                <w:color w:val="auto"/>
                <w:sz w:val="24"/>
                <w:szCs w:val="24"/>
                <w:highlight w:val="none"/>
              </w:rPr>
            </w:pPr>
          </w:p>
        </w:tc>
        <w:tc>
          <w:tcPr>
            <w:tcW w:w="1896" w:type="dxa"/>
            <w:vAlign w:val="top"/>
          </w:tcPr>
          <w:p>
            <w:pPr>
              <w:pStyle w:val="12"/>
              <w:spacing w:before="120" w:after="120"/>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pStyle w:val="12"/>
              <w:spacing w:before="120" w:after="120"/>
              <w:jc w:val="center"/>
              <w:rPr>
                <w:rFonts w:hAnsi="宋体"/>
                <w:color w:val="auto"/>
                <w:sz w:val="24"/>
                <w:szCs w:val="24"/>
                <w:highlight w:val="none"/>
              </w:rPr>
            </w:pPr>
            <w:r>
              <w:rPr>
                <w:rFonts w:hint="eastAsia" w:hAnsi="宋体"/>
                <w:color w:val="auto"/>
                <w:sz w:val="24"/>
                <w:szCs w:val="24"/>
                <w:highlight w:val="none"/>
              </w:rPr>
              <w:t>3</w:t>
            </w:r>
          </w:p>
        </w:tc>
        <w:tc>
          <w:tcPr>
            <w:tcW w:w="4500" w:type="dxa"/>
            <w:vAlign w:val="center"/>
          </w:tcPr>
          <w:p>
            <w:pPr>
              <w:pStyle w:val="12"/>
              <w:spacing w:before="120" w:after="120"/>
              <w:rPr>
                <w:rFonts w:hAnsi="宋体"/>
                <w:color w:val="auto"/>
                <w:sz w:val="24"/>
                <w:szCs w:val="24"/>
                <w:highlight w:val="none"/>
              </w:rPr>
            </w:pPr>
            <w:r>
              <w:rPr>
                <w:rFonts w:hint="eastAsia" w:hAnsi="宋体"/>
                <w:color w:val="auto"/>
                <w:sz w:val="24"/>
                <w:szCs w:val="24"/>
                <w:highlight w:val="none"/>
              </w:rPr>
              <w:t>免费换货期限</w:t>
            </w:r>
          </w:p>
        </w:tc>
        <w:tc>
          <w:tcPr>
            <w:tcW w:w="2064" w:type="dxa"/>
            <w:vAlign w:val="top"/>
          </w:tcPr>
          <w:p>
            <w:pPr>
              <w:pStyle w:val="12"/>
              <w:spacing w:before="120" w:after="120"/>
              <w:rPr>
                <w:rFonts w:hAnsi="宋体"/>
                <w:color w:val="auto"/>
                <w:sz w:val="24"/>
                <w:szCs w:val="24"/>
                <w:highlight w:val="none"/>
              </w:rPr>
            </w:pPr>
          </w:p>
        </w:tc>
        <w:tc>
          <w:tcPr>
            <w:tcW w:w="1896" w:type="dxa"/>
            <w:vAlign w:val="top"/>
          </w:tcPr>
          <w:p>
            <w:pPr>
              <w:pStyle w:val="12"/>
              <w:spacing w:before="120" w:after="120"/>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pStyle w:val="12"/>
              <w:spacing w:before="120" w:after="120"/>
              <w:jc w:val="center"/>
              <w:rPr>
                <w:rFonts w:hAnsi="宋体"/>
                <w:color w:val="auto"/>
                <w:sz w:val="24"/>
                <w:szCs w:val="24"/>
                <w:highlight w:val="none"/>
              </w:rPr>
            </w:pPr>
            <w:r>
              <w:rPr>
                <w:rFonts w:hint="eastAsia" w:hAnsi="宋体"/>
                <w:color w:val="auto"/>
                <w:sz w:val="24"/>
                <w:szCs w:val="24"/>
                <w:highlight w:val="none"/>
              </w:rPr>
              <w:t>4</w:t>
            </w:r>
          </w:p>
        </w:tc>
        <w:tc>
          <w:tcPr>
            <w:tcW w:w="4500" w:type="dxa"/>
            <w:vAlign w:val="center"/>
          </w:tcPr>
          <w:p>
            <w:pPr>
              <w:pStyle w:val="12"/>
              <w:spacing w:before="120" w:after="120"/>
              <w:rPr>
                <w:rFonts w:hAnsi="宋体"/>
                <w:color w:val="auto"/>
                <w:sz w:val="24"/>
                <w:szCs w:val="24"/>
                <w:highlight w:val="none"/>
              </w:rPr>
            </w:pPr>
            <w:r>
              <w:rPr>
                <w:rFonts w:hint="eastAsia" w:hAnsi="宋体"/>
                <w:color w:val="auto"/>
                <w:sz w:val="24"/>
                <w:szCs w:val="24"/>
                <w:highlight w:val="none"/>
              </w:rPr>
              <w:t>免费上门服务期限</w:t>
            </w:r>
          </w:p>
        </w:tc>
        <w:tc>
          <w:tcPr>
            <w:tcW w:w="2064" w:type="dxa"/>
            <w:vAlign w:val="top"/>
          </w:tcPr>
          <w:p>
            <w:pPr>
              <w:pStyle w:val="12"/>
              <w:spacing w:before="120" w:after="120"/>
              <w:rPr>
                <w:rFonts w:hAnsi="宋体"/>
                <w:color w:val="auto"/>
                <w:sz w:val="24"/>
                <w:szCs w:val="24"/>
                <w:highlight w:val="none"/>
              </w:rPr>
            </w:pPr>
          </w:p>
        </w:tc>
        <w:tc>
          <w:tcPr>
            <w:tcW w:w="1896" w:type="dxa"/>
            <w:vAlign w:val="top"/>
          </w:tcPr>
          <w:p>
            <w:pPr>
              <w:pStyle w:val="12"/>
              <w:spacing w:before="120" w:after="120"/>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pStyle w:val="12"/>
              <w:spacing w:before="120" w:after="120"/>
              <w:jc w:val="center"/>
              <w:rPr>
                <w:rFonts w:hAnsi="宋体"/>
                <w:color w:val="auto"/>
                <w:sz w:val="24"/>
                <w:szCs w:val="24"/>
                <w:highlight w:val="none"/>
              </w:rPr>
            </w:pPr>
            <w:r>
              <w:rPr>
                <w:rFonts w:hint="eastAsia" w:hAnsi="宋体"/>
                <w:color w:val="auto"/>
                <w:sz w:val="24"/>
                <w:szCs w:val="24"/>
                <w:highlight w:val="none"/>
              </w:rPr>
              <w:t>5</w:t>
            </w:r>
          </w:p>
        </w:tc>
        <w:tc>
          <w:tcPr>
            <w:tcW w:w="4500" w:type="dxa"/>
            <w:vAlign w:val="center"/>
          </w:tcPr>
          <w:p>
            <w:pPr>
              <w:pStyle w:val="12"/>
              <w:spacing w:before="120" w:after="120"/>
              <w:rPr>
                <w:rFonts w:hAnsi="宋体"/>
                <w:color w:val="auto"/>
                <w:sz w:val="24"/>
                <w:szCs w:val="24"/>
                <w:highlight w:val="none"/>
              </w:rPr>
            </w:pPr>
            <w:r>
              <w:rPr>
                <w:rFonts w:hint="eastAsia" w:hAnsi="宋体"/>
                <w:color w:val="auto"/>
                <w:sz w:val="24"/>
                <w:szCs w:val="24"/>
                <w:highlight w:val="none"/>
              </w:rPr>
              <w:t>质保期内故障服务响应时限</w:t>
            </w:r>
          </w:p>
        </w:tc>
        <w:tc>
          <w:tcPr>
            <w:tcW w:w="2064" w:type="dxa"/>
            <w:vAlign w:val="top"/>
          </w:tcPr>
          <w:p>
            <w:pPr>
              <w:pStyle w:val="12"/>
              <w:spacing w:before="120" w:after="120"/>
              <w:rPr>
                <w:rFonts w:hAnsi="宋体"/>
                <w:color w:val="auto"/>
                <w:sz w:val="24"/>
                <w:szCs w:val="24"/>
                <w:highlight w:val="none"/>
              </w:rPr>
            </w:pPr>
          </w:p>
        </w:tc>
        <w:tc>
          <w:tcPr>
            <w:tcW w:w="1896" w:type="dxa"/>
            <w:vAlign w:val="top"/>
          </w:tcPr>
          <w:p>
            <w:pPr>
              <w:pStyle w:val="12"/>
              <w:spacing w:before="120" w:after="120"/>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pStyle w:val="12"/>
              <w:spacing w:before="120" w:after="120"/>
              <w:jc w:val="center"/>
              <w:rPr>
                <w:rFonts w:hAnsi="宋体"/>
                <w:color w:val="auto"/>
                <w:sz w:val="24"/>
                <w:szCs w:val="24"/>
                <w:highlight w:val="none"/>
              </w:rPr>
            </w:pPr>
            <w:r>
              <w:rPr>
                <w:rFonts w:hint="eastAsia" w:hAnsi="宋体"/>
                <w:color w:val="auto"/>
                <w:sz w:val="24"/>
                <w:szCs w:val="24"/>
                <w:highlight w:val="none"/>
              </w:rPr>
              <w:t>6</w:t>
            </w:r>
          </w:p>
        </w:tc>
        <w:tc>
          <w:tcPr>
            <w:tcW w:w="4500" w:type="dxa"/>
            <w:vAlign w:val="center"/>
          </w:tcPr>
          <w:p>
            <w:pPr>
              <w:pStyle w:val="12"/>
              <w:spacing w:before="120" w:after="120"/>
              <w:rPr>
                <w:rFonts w:hAnsi="宋体"/>
                <w:color w:val="auto"/>
                <w:sz w:val="24"/>
                <w:szCs w:val="24"/>
                <w:highlight w:val="none"/>
              </w:rPr>
            </w:pPr>
            <w:r>
              <w:rPr>
                <w:rFonts w:hint="eastAsia" w:hAnsi="宋体"/>
                <w:color w:val="auto"/>
                <w:sz w:val="24"/>
                <w:szCs w:val="24"/>
                <w:highlight w:val="none"/>
              </w:rPr>
              <w:t>服务时间响应</w:t>
            </w:r>
          </w:p>
        </w:tc>
        <w:tc>
          <w:tcPr>
            <w:tcW w:w="2064" w:type="dxa"/>
            <w:vAlign w:val="top"/>
          </w:tcPr>
          <w:p>
            <w:pPr>
              <w:pStyle w:val="12"/>
              <w:spacing w:before="120" w:after="120"/>
              <w:rPr>
                <w:rFonts w:hAnsi="宋体"/>
                <w:color w:val="auto"/>
                <w:sz w:val="24"/>
                <w:szCs w:val="24"/>
                <w:highlight w:val="none"/>
              </w:rPr>
            </w:pPr>
          </w:p>
        </w:tc>
        <w:tc>
          <w:tcPr>
            <w:tcW w:w="1896" w:type="dxa"/>
            <w:vAlign w:val="top"/>
          </w:tcPr>
          <w:p>
            <w:pPr>
              <w:pStyle w:val="12"/>
              <w:spacing w:before="120" w:after="120"/>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pStyle w:val="12"/>
              <w:spacing w:before="120" w:after="120"/>
              <w:jc w:val="center"/>
              <w:rPr>
                <w:rFonts w:hAnsi="宋体"/>
                <w:color w:val="auto"/>
                <w:sz w:val="24"/>
                <w:szCs w:val="24"/>
                <w:highlight w:val="none"/>
              </w:rPr>
            </w:pPr>
            <w:r>
              <w:rPr>
                <w:rFonts w:hint="eastAsia" w:hAnsi="宋体"/>
                <w:color w:val="auto"/>
                <w:sz w:val="24"/>
                <w:szCs w:val="24"/>
                <w:highlight w:val="none"/>
              </w:rPr>
              <w:t>7</w:t>
            </w:r>
          </w:p>
        </w:tc>
        <w:tc>
          <w:tcPr>
            <w:tcW w:w="4500" w:type="dxa"/>
            <w:vAlign w:val="center"/>
          </w:tcPr>
          <w:p>
            <w:pPr>
              <w:pStyle w:val="12"/>
              <w:spacing w:before="120" w:after="120"/>
              <w:rPr>
                <w:rFonts w:hAnsi="宋体"/>
                <w:color w:val="auto"/>
                <w:sz w:val="24"/>
                <w:szCs w:val="24"/>
                <w:highlight w:val="none"/>
              </w:rPr>
            </w:pPr>
            <w:r>
              <w:rPr>
                <w:rFonts w:hint="eastAsia" w:hAnsi="宋体"/>
                <w:color w:val="auto"/>
                <w:sz w:val="24"/>
                <w:szCs w:val="24"/>
                <w:highlight w:val="none"/>
              </w:rPr>
              <w:t>质保期满的服务费用</w:t>
            </w:r>
          </w:p>
        </w:tc>
        <w:tc>
          <w:tcPr>
            <w:tcW w:w="2064" w:type="dxa"/>
            <w:vAlign w:val="top"/>
          </w:tcPr>
          <w:p>
            <w:pPr>
              <w:pStyle w:val="12"/>
              <w:spacing w:before="120" w:after="120"/>
              <w:rPr>
                <w:rFonts w:hAnsi="宋体"/>
                <w:color w:val="auto"/>
                <w:sz w:val="24"/>
                <w:szCs w:val="24"/>
                <w:highlight w:val="none"/>
              </w:rPr>
            </w:pPr>
          </w:p>
        </w:tc>
        <w:tc>
          <w:tcPr>
            <w:tcW w:w="1896" w:type="dxa"/>
            <w:vAlign w:val="top"/>
          </w:tcPr>
          <w:p>
            <w:pPr>
              <w:pStyle w:val="12"/>
              <w:spacing w:before="120" w:after="120"/>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8" w:type="dxa"/>
            <w:vAlign w:val="center"/>
          </w:tcPr>
          <w:p>
            <w:pPr>
              <w:pStyle w:val="12"/>
              <w:spacing w:before="120" w:after="120"/>
              <w:jc w:val="center"/>
              <w:rPr>
                <w:rFonts w:hAnsi="宋体"/>
                <w:color w:val="auto"/>
                <w:sz w:val="24"/>
                <w:szCs w:val="24"/>
                <w:highlight w:val="none"/>
              </w:rPr>
            </w:pPr>
            <w:r>
              <w:rPr>
                <w:rFonts w:hint="eastAsia" w:hAnsi="宋体"/>
                <w:color w:val="auto"/>
                <w:sz w:val="24"/>
                <w:szCs w:val="24"/>
                <w:highlight w:val="none"/>
              </w:rPr>
              <w:t>8</w:t>
            </w:r>
          </w:p>
        </w:tc>
        <w:tc>
          <w:tcPr>
            <w:tcW w:w="4500" w:type="dxa"/>
            <w:vAlign w:val="center"/>
          </w:tcPr>
          <w:p>
            <w:pPr>
              <w:pStyle w:val="12"/>
              <w:spacing w:before="120" w:after="120"/>
              <w:rPr>
                <w:rFonts w:hAnsi="宋体"/>
                <w:color w:val="auto"/>
                <w:sz w:val="24"/>
                <w:szCs w:val="24"/>
                <w:highlight w:val="none"/>
              </w:rPr>
            </w:pPr>
            <w:r>
              <w:rPr>
                <w:rFonts w:hint="eastAsia" w:hAnsi="宋体"/>
                <w:color w:val="auto"/>
                <w:sz w:val="24"/>
                <w:szCs w:val="24"/>
                <w:highlight w:val="none"/>
              </w:rPr>
              <w:t>交货时间</w:t>
            </w:r>
          </w:p>
        </w:tc>
        <w:tc>
          <w:tcPr>
            <w:tcW w:w="2064" w:type="dxa"/>
            <w:vAlign w:val="top"/>
          </w:tcPr>
          <w:p>
            <w:pPr>
              <w:pStyle w:val="12"/>
              <w:spacing w:before="120" w:after="120"/>
              <w:rPr>
                <w:rFonts w:hAnsi="宋体"/>
                <w:color w:val="auto"/>
                <w:sz w:val="24"/>
                <w:szCs w:val="24"/>
                <w:highlight w:val="none"/>
              </w:rPr>
            </w:pPr>
          </w:p>
        </w:tc>
        <w:tc>
          <w:tcPr>
            <w:tcW w:w="1896" w:type="dxa"/>
            <w:vAlign w:val="top"/>
          </w:tcPr>
          <w:p>
            <w:pPr>
              <w:pStyle w:val="12"/>
              <w:spacing w:before="120" w:after="120"/>
              <w:rPr>
                <w:rFonts w:hAnsi="宋体"/>
                <w:color w:val="auto"/>
                <w:sz w:val="24"/>
                <w:szCs w:val="24"/>
                <w:highlight w:val="none"/>
              </w:rPr>
            </w:pPr>
          </w:p>
        </w:tc>
      </w:tr>
    </w:tbl>
    <w:p>
      <w:pPr>
        <w:pStyle w:val="12"/>
        <w:spacing w:before="120" w:after="120"/>
        <w:ind w:firstLine="630" w:firstLineChars="300"/>
        <w:rPr>
          <w:rFonts w:hAnsi="宋体"/>
          <w:color w:val="auto"/>
          <w:highlight w:val="none"/>
        </w:rPr>
      </w:pPr>
    </w:p>
    <w:p>
      <w:pPr>
        <w:pStyle w:val="12"/>
        <w:spacing w:before="120" w:after="120"/>
        <w:ind w:firstLine="720" w:firstLineChars="300"/>
        <w:rPr>
          <w:rFonts w:hAnsi="宋体"/>
          <w:color w:val="auto"/>
          <w:sz w:val="24"/>
          <w:szCs w:val="24"/>
          <w:highlight w:val="none"/>
        </w:rPr>
      </w:pPr>
    </w:p>
    <w:p>
      <w:pPr>
        <w:wordWrap w:val="0"/>
        <w:autoSpaceDE w:val="0"/>
        <w:autoSpaceDN w:val="0"/>
        <w:adjustRightInd w:val="0"/>
        <w:spacing w:line="440" w:lineRule="exact"/>
        <w:jc w:val="right"/>
        <w:rPr>
          <w:rFonts w:ascii="宋体" w:hAnsi="宋体"/>
          <w:color w:val="auto"/>
          <w:kern w:val="0"/>
          <w:sz w:val="24"/>
          <w:highlight w:val="none"/>
        </w:rPr>
      </w:pPr>
      <w:r>
        <w:rPr>
          <w:rFonts w:hint="eastAsia" w:ascii="宋体" w:hAnsi="宋体"/>
          <w:color w:val="auto"/>
          <w:kern w:val="0"/>
          <w:sz w:val="24"/>
          <w:highlight w:val="none"/>
        </w:rPr>
        <w:t xml:space="preserve">谈判响应方（公章）：    </w:t>
      </w:r>
      <w:r>
        <w:rPr>
          <w:rFonts w:ascii="宋体" w:hAnsi="宋体"/>
          <w:color w:val="auto"/>
          <w:kern w:val="0"/>
          <w:sz w:val="24"/>
          <w:highlight w:val="none"/>
        </w:rPr>
        <w:t xml:space="preserve">      </w:t>
      </w:r>
    </w:p>
    <w:p>
      <w:pPr>
        <w:autoSpaceDE w:val="0"/>
        <w:autoSpaceDN w:val="0"/>
        <w:adjustRightInd w:val="0"/>
        <w:spacing w:line="440" w:lineRule="exact"/>
        <w:rPr>
          <w:rFonts w:ascii="宋体" w:hAnsi="宋体"/>
          <w:color w:val="auto"/>
          <w:kern w:val="0"/>
          <w:sz w:val="24"/>
          <w:highlight w:val="none"/>
        </w:rPr>
      </w:pPr>
      <w:r>
        <w:rPr>
          <w:rFonts w:ascii="宋体" w:hAnsi="宋体"/>
          <w:color w:val="auto"/>
          <w:kern w:val="0"/>
          <w:sz w:val="24"/>
          <w:highlight w:val="none"/>
        </w:rPr>
        <w:t xml:space="preserve">                                        </w:t>
      </w:r>
      <w:r>
        <w:rPr>
          <w:rFonts w:hint="eastAsia" w:ascii="宋体" w:hAnsi="宋体"/>
          <w:color w:val="auto"/>
          <w:kern w:val="0"/>
          <w:sz w:val="24"/>
          <w:highlight w:val="none"/>
        </w:rPr>
        <w:t>法定代表人或授权代表（签字）：</w:t>
      </w:r>
      <w:r>
        <w:rPr>
          <w:rFonts w:ascii="宋体" w:hAnsi="宋体"/>
          <w:color w:val="auto"/>
          <w:kern w:val="0"/>
          <w:sz w:val="24"/>
          <w:highlight w:val="none"/>
        </w:rPr>
        <w:t xml:space="preserve"> </w:t>
      </w:r>
    </w:p>
    <w:p>
      <w:pPr>
        <w:autoSpaceDE w:val="0"/>
        <w:autoSpaceDN w:val="0"/>
        <w:adjustRightInd w:val="0"/>
        <w:spacing w:line="440" w:lineRule="exact"/>
        <w:rPr>
          <w:rFonts w:ascii="宋体" w:hAnsi="宋体"/>
          <w:color w:val="auto"/>
          <w:kern w:val="0"/>
          <w:sz w:val="24"/>
          <w:highlight w:val="none"/>
        </w:rPr>
      </w:pPr>
      <w:r>
        <w:rPr>
          <w:rFonts w:ascii="宋体" w:hAnsi="宋体"/>
          <w:color w:val="auto"/>
          <w:kern w:val="0"/>
          <w:sz w:val="24"/>
          <w:highlight w:val="none"/>
        </w:rPr>
        <w:t xml:space="preserve"> </w:t>
      </w:r>
      <w:r>
        <w:rPr>
          <w:rFonts w:hint="eastAsia" w:ascii="宋体" w:hAnsi="宋体"/>
          <w:color w:val="auto"/>
          <w:kern w:val="0"/>
          <w:sz w:val="24"/>
          <w:highlight w:val="none"/>
        </w:rPr>
        <w:t xml:space="preserve">                                         </w:t>
      </w:r>
      <w:r>
        <w:rPr>
          <w:rFonts w:ascii="宋体" w:hAnsi="宋体"/>
          <w:color w:val="auto"/>
          <w:kern w:val="0"/>
          <w:sz w:val="24"/>
          <w:highlight w:val="none"/>
        </w:rPr>
        <w:t xml:space="preserve"> </w:t>
      </w:r>
      <w:r>
        <w:rPr>
          <w:rFonts w:hint="eastAsia" w:ascii="宋体" w:hAnsi="宋体"/>
          <w:color w:val="auto"/>
          <w:kern w:val="0"/>
          <w:sz w:val="24"/>
          <w:highlight w:val="none"/>
        </w:rPr>
        <w:t>日期：</w:t>
      </w:r>
      <w:r>
        <w:rPr>
          <w:rFonts w:ascii="宋体" w:hAnsi="宋体"/>
          <w:color w:val="auto"/>
          <w:kern w:val="0"/>
          <w:sz w:val="24"/>
          <w:highlight w:val="none"/>
        </w:rPr>
        <w:t>20</w:t>
      </w:r>
      <w:r>
        <w:rPr>
          <w:rFonts w:hint="eastAsia" w:ascii="宋体" w:hAnsi="宋体"/>
          <w:color w:val="auto"/>
          <w:kern w:val="0"/>
          <w:sz w:val="24"/>
          <w:highlight w:val="none"/>
        </w:rPr>
        <w:t xml:space="preserve">  年</w:t>
      </w:r>
      <w:r>
        <w:rPr>
          <w:rFonts w:ascii="宋体" w:hAnsi="宋体"/>
          <w:color w:val="auto"/>
          <w:kern w:val="0"/>
          <w:sz w:val="24"/>
          <w:highlight w:val="none"/>
        </w:rPr>
        <w:t xml:space="preserve">  </w:t>
      </w:r>
      <w:r>
        <w:rPr>
          <w:rFonts w:hint="eastAsia" w:ascii="宋体" w:hAnsi="宋体"/>
          <w:color w:val="auto"/>
          <w:kern w:val="0"/>
          <w:sz w:val="24"/>
          <w:highlight w:val="none"/>
        </w:rPr>
        <w:t>月</w:t>
      </w:r>
      <w:r>
        <w:rPr>
          <w:rFonts w:ascii="宋体" w:hAnsi="宋体"/>
          <w:color w:val="auto"/>
          <w:kern w:val="0"/>
          <w:sz w:val="24"/>
          <w:highlight w:val="none"/>
        </w:rPr>
        <w:t xml:space="preserve">   </w:t>
      </w:r>
      <w:r>
        <w:rPr>
          <w:rFonts w:hint="eastAsia" w:ascii="宋体" w:hAnsi="宋体"/>
          <w:color w:val="auto"/>
          <w:kern w:val="0"/>
          <w:sz w:val="24"/>
          <w:highlight w:val="none"/>
        </w:rPr>
        <w:t>日</w:t>
      </w:r>
    </w:p>
    <w:p>
      <w:pPr>
        <w:autoSpaceDE w:val="0"/>
        <w:autoSpaceDN w:val="0"/>
        <w:adjustRightInd w:val="0"/>
        <w:spacing w:line="440" w:lineRule="exact"/>
        <w:jc w:val="center"/>
        <w:rPr>
          <w:rFonts w:ascii="宋体" w:hAnsi="宋体"/>
          <w:b/>
          <w:color w:val="auto"/>
          <w:kern w:val="0"/>
          <w:sz w:val="32"/>
          <w:szCs w:val="32"/>
          <w:highlight w:val="none"/>
        </w:rPr>
      </w:pPr>
      <w:r>
        <w:rPr>
          <w:rFonts w:ascii="宋体" w:hAnsi="宋体"/>
          <w:color w:val="auto"/>
          <w:kern w:val="0"/>
          <w:sz w:val="24"/>
          <w:highlight w:val="none"/>
        </w:rPr>
        <w:br w:type="page"/>
      </w:r>
      <w:r>
        <w:rPr>
          <w:rFonts w:hint="eastAsia" w:ascii="宋体" w:hAnsi="宋体"/>
          <w:b/>
          <w:color w:val="auto"/>
          <w:kern w:val="0"/>
          <w:sz w:val="32"/>
          <w:szCs w:val="32"/>
          <w:highlight w:val="none"/>
        </w:rPr>
        <w:t>九、</w:t>
      </w:r>
      <w:r>
        <w:rPr>
          <w:rFonts w:hint="eastAsia" w:ascii="宋体" w:hAnsi="宋体" w:cs="宋体"/>
          <w:b/>
          <w:color w:val="auto"/>
          <w:kern w:val="0"/>
          <w:sz w:val="32"/>
          <w:szCs w:val="32"/>
          <w:highlight w:val="none"/>
        </w:rPr>
        <w:t>距采购人最近或者能为本项目提供最优服务的网点    情况表</w:t>
      </w:r>
    </w:p>
    <w:p>
      <w:pPr>
        <w:spacing w:line="440" w:lineRule="exact"/>
        <w:jc w:val="left"/>
        <w:rPr>
          <w:rFonts w:ascii="宋体" w:hAnsi="宋体"/>
          <w:color w:val="auto"/>
          <w:sz w:val="24"/>
          <w:highlight w:val="none"/>
        </w:rPr>
      </w:pPr>
    </w:p>
    <w:p>
      <w:pPr>
        <w:spacing w:line="440" w:lineRule="exact"/>
        <w:ind w:firstLine="602" w:firstLineChars="250"/>
        <w:jc w:val="left"/>
        <w:rPr>
          <w:rFonts w:ascii="宋体" w:hAnsi="宋体" w:cs="仿宋_GB2312"/>
          <w:b/>
          <w:bCs/>
          <w:color w:val="auto"/>
          <w:kern w:val="0"/>
          <w:sz w:val="30"/>
          <w:szCs w:val="30"/>
          <w:highlight w:val="none"/>
          <w:lang w:val="zh-CN"/>
        </w:rPr>
      </w:pPr>
      <w:r>
        <w:rPr>
          <w:rFonts w:hint="eastAsia" w:ascii="宋体" w:hAnsi="宋体"/>
          <w:b/>
          <w:color w:val="auto"/>
          <w:sz w:val="24"/>
          <w:highlight w:val="none"/>
        </w:rPr>
        <w:t>项目编号：</w:t>
      </w:r>
      <w:r>
        <w:rPr>
          <w:rFonts w:hint="eastAsia" w:ascii="宋体" w:hAnsi="宋体"/>
          <w:b/>
          <w:color w:val="auto"/>
          <w:kern w:val="0"/>
          <w:sz w:val="24"/>
          <w:highlight w:val="none"/>
        </w:rPr>
        <w:t xml:space="preserve">HZYHZFCG-20  - </w:t>
      </w:r>
    </w:p>
    <w:tbl>
      <w:tblPr>
        <w:tblStyle w:val="31"/>
        <w:tblW w:w="80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2"/>
        <w:gridCol w:w="2176"/>
        <w:gridCol w:w="191"/>
        <w:gridCol w:w="1440"/>
        <w:gridCol w:w="889"/>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r>
              <w:rPr>
                <w:rFonts w:hint="eastAsia" w:ascii="宋体" w:hAnsi="宋体"/>
                <w:color w:val="auto"/>
                <w:sz w:val="24"/>
                <w:highlight w:val="none"/>
              </w:rPr>
              <w:t>服务网点名称</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r>
              <w:rPr>
                <w:rFonts w:hint="eastAsia" w:ascii="宋体" w:hAnsi="宋体"/>
                <w:color w:val="auto"/>
                <w:sz w:val="24"/>
                <w:highlight w:val="none"/>
              </w:rPr>
              <w:t>地址</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r>
              <w:rPr>
                <w:rFonts w:hint="eastAsia" w:ascii="宋体" w:hAnsi="宋体"/>
                <w:color w:val="auto"/>
                <w:sz w:val="24"/>
                <w:highlight w:val="none"/>
              </w:rPr>
              <w:t>注册资本金</w:t>
            </w:r>
          </w:p>
        </w:tc>
        <w:tc>
          <w:tcPr>
            <w:tcW w:w="217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p>
        </w:tc>
        <w:tc>
          <w:tcPr>
            <w:tcW w:w="2520" w:type="dxa"/>
            <w:gridSpan w:val="3"/>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r>
              <w:rPr>
                <w:rFonts w:hint="eastAsia" w:ascii="宋体" w:hAnsi="宋体"/>
                <w:color w:val="auto"/>
                <w:sz w:val="24"/>
                <w:highlight w:val="none"/>
              </w:rPr>
              <w:t>其中：谈判响应方出资比例</w:t>
            </w:r>
          </w:p>
        </w:tc>
        <w:tc>
          <w:tcPr>
            <w:tcW w:w="143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r>
              <w:rPr>
                <w:rFonts w:hint="eastAsia" w:ascii="宋体" w:hAnsi="宋体"/>
                <w:color w:val="auto"/>
                <w:sz w:val="24"/>
                <w:highlight w:val="none"/>
              </w:rPr>
              <w:t>员工总人数</w:t>
            </w:r>
          </w:p>
        </w:tc>
        <w:tc>
          <w:tcPr>
            <w:tcW w:w="217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p>
        </w:tc>
        <w:tc>
          <w:tcPr>
            <w:tcW w:w="2520" w:type="dxa"/>
            <w:gridSpan w:val="3"/>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ind w:left="60"/>
              <w:jc w:val="left"/>
              <w:rPr>
                <w:rFonts w:ascii="宋体" w:hAnsi="宋体"/>
                <w:color w:val="auto"/>
                <w:sz w:val="24"/>
                <w:szCs w:val="20"/>
                <w:highlight w:val="none"/>
              </w:rPr>
            </w:pPr>
            <w:r>
              <w:rPr>
                <w:rFonts w:hint="eastAsia" w:ascii="宋体" w:hAnsi="宋体"/>
                <w:color w:val="auto"/>
                <w:sz w:val="24"/>
                <w:highlight w:val="none"/>
              </w:rPr>
              <w:t>其中：技术人员数</w:t>
            </w:r>
          </w:p>
        </w:tc>
        <w:tc>
          <w:tcPr>
            <w:tcW w:w="1436"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r>
              <w:rPr>
                <w:rFonts w:hint="eastAsia" w:ascii="宋体" w:hAnsi="宋体"/>
                <w:color w:val="auto"/>
                <w:sz w:val="24"/>
                <w:highlight w:val="none"/>
              </w:rPr>
              <w:t>经营期限</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5" w:hRule="atLeast"/>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r>
              <w:rPr>
                <w:rFonts w:hint="eastAsia" w:ascii="宋体" w:hAnsi="宋体"/>
                <w:color w:val="auto"/>
                <w:sz w:val="24"/>
                <w:highlight w:val="none"/>
              </w:rPr>
              <w:t>售后服务协议</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8" w:hRule="atLeast"/>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r>
              <w:rPr>
                <w:rFonts w:hint="eastAsia" w:ascii="宋体" w:hAnsi="宋体"/>
                <w:color w:val="auto"/>
                <w:sz w:val="24"/>
                <w:highlight w:val="none"/>
              </w:rPr>
              <w:t>售后服务内容</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r>
              <w:rPr>
                <w:rFonts w:hint="eastAsia" w:ascii="宋体" w:hAnsi="宋体"/>
                <w:color w:val="auto"/>
                <w:sz w:val="24"/>
                <w:highlight w:val="none"/>
              </w:rPr>
              <w:t>工作业绩</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r>
              <w:rPr>
                <w:rFonts w:hint="eastAsia" w:ascii="宋体" w:hAnsi="宋体"/>
                <w:color w:val="auto"/>
                <w:sz w:val="24"/>
                <w:highlight w:val="none"/>
              </w:rPr>
              <w:t>服务承诺</w:t>
            </w:r>
          </w:p>
        </w:tc>
        <w:tc>
          <w:tcPr>
            <w:tcW w:w="6132"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r>
              <w:rPr>
                <w:rFonts w:hint="eastAsia" w:ascii="宋体" w:hAnsi="宋体"/>
                <w:color w:val="auto"/>
                <w:sz w:val="24"/>
                <w:highlight w:val="none"/>
              </w:rPr>
              <w:t>业务咨询电话</w:t>
            </w:r>
          </w:p>
        </w:tc>
        <w:tc>
          <w:tcPr>
            <w:tcW w:w="2367" w:type="dxa"/>
            <w:gridSpan w:val="2"/>
            <w:tcBorders>
              <w:top w:val="single" w:color="auto" w:sz="4" w:space="0"/>
              <w:left w:val="single" w:color="auto" w:sz="4" w:space="0"/>
              <w:bottom w:val="single" w:color="auto" w:sz="4" w:space="0"/>
              <w:right w:val="single" w:color="auto" w:sz="2" w:space="0"/>
            </w:tcBorders>
            <w:vAlign w:val="top"/>
          </w:tcPr>
          <w:p>
            <w:pPr>
              <w:snapToGrid w:val="0"/>
              <w:spacing w:before="50" w:afterLines="50" w:line="400" w:lineRule="exact"/>
              <w:jc w:val="left"/>
              <w:rPr>
                <w:rFonts w:ascii="宋体" w:hAnsi="宋体"/>
                <w:color w:val="auto"/>
                <w:sz w:val="24"/>
                <w:szCs w:val="20"/>
                <w:highlight w:val="none"/>
              </w:rPr>
            </w:pPr>
          </w:p>
        </w:tc>
        <w:tc>
          <w:tcPr>
            <w:tcW w:w="1440" w:type="dxa"/>
            <w:tcBorders>
              <w:top w:val="single" w:color="auto" w:sz="4" w:space="0"/>
              <w:left w:val="single" w:color="auto" w:sz="2" w:space="0"/>
              <w:bottom w:val="single" w:color="auto" w:sz="4" w:space="0"/>
              <w:right w:val="single" w:color="auto" w:sz="2" w:space="0"/>
            </w:tcBorders>
            <w:vAlign w:val="top"/>
          </w:tcPr>
          <w:p>
            <w:pPr>
              <w:snapToGrid w:val="0"/>
              <w:spacing w:before="50" w:afterLines="50" w:line="400" w:lineRule="exact"/>
              <w:jc w:val="left"/>
              <w:rPr>
                <w:rFonts w:ascii="宋体" w:hAnsi="宋体"/>
                <w:color w:val="auto"/>
                <w:sz w:val="24"/>
                <w:szCs w:val="20"/>
                <w:highlight w:val="none"/>
              </w:rPr>
            </w:pPr>
            <w:r>
              <w:rPr>
                <w:rFonts w:hint="eastAsia" w:ascii="宋体" w:hAnsi="宋体"/>
                <w:color w:val="auto"/>
                <w:sz w:val="24"/>
                <w:highlight w:val="none"/>
              </w:rPr>
              <w:t>传</w:t>
            </w:r>
            <w:r>
              <w:rPr>
                <w:rFonts w:ascii="宋体" w:hAnsi="宋体"/>
                <w:color w:val="auto"/>
                <w:sz w:val="24"/>
                <w:highlight w:val="none"/>
              </w:rPr>
              <w:t xml:space="preserve"> 真</w:t>
            </w:r>
          </w:p>
        </w:tc>
        <w:tc>
          <w:tcPr>
            <w:tcW w:w="2325" w:type="dxa"/>
            <w:gridSpan w:val="2"/>
            <w:tcBorders>
              <w:top w:val="single" w:color="auto" w:sz="4" w:space="0"/>
              <w:left w:val="single" w:color="auto" w:sz="2" w:space="0"/>
              <w:bottom w:val="single" w:color="auto" w:sz="4" w:space="0"/>
              <w:right w:val="single" w:color="auto" w:sz="2" w:space="0"/>
            </w:tcBorders>
            <w:vAlign w:val="top"/>
          </w:tcPr>
          <w:p>
            <w:pPr>
              <w:snapToGrid w:val="0"/>
              <w:spacing w:before="50" w:afterLines="50" w:line="400" w:lineRule="exact"/>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32" w:type="dxa"/>
            <w:tcBorders>
              <w:top w:val="single" w:color="auto" w:sz="4" w:space="0"/>
              <w:left w:val="single" w:color="auto" w:sz="4"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r>
              <w:rPr>
                <w:rFonts w:hint="eastAsia" w:ascii="宋体" w:hAnsi="宋体"/>
                <w:color w:val="auto"/>
                <w:sz w:val="24"/>
                <w:highlight w:val="none"/>
              </w:rPr>
              <w:t>负责人</w:t>
            </w:r>
          </w:p>
        </w:tc>
        <w:tc>
          <w:tcPr>
            <w:tcW w:w="2367" w:type="dxa"/>
            <w:gridSpan w:val="2"/>
            <w:tcBorders>
              <w:top w:val="single" w:color="auto" w:sz="4" w:space="0"/>
              <w:left w:val="single" w:color="auto" w:sz="4" w:space="0"/>
              <w:bottom w:val="single" w:color="auto" w:sz="4" w:space="0"/>
              <w:right w:val="single" w:color="auto" w:sz="2" w:space="0"/>
            </w:tcBorders>
            <w:vAlign w:val="top"/>
          </w:tcPr>
          <w:p>
            <w:pPr>
              <w:snapToGrid w:val="0"/>
              <w:spacing w:before="50" w:afterLines="50" w:line="400" w:lineRule="exact"/>
              <w:jc w:val="left"/>
              <w:rPr>
                <w:rFonts w:ascii="宋体" w:hAnsi="宋体"/>
                <w:color w:val="auto"/>
                <w:sz w:val="24"/>
                <w:szCs w:val="20"/>
                <w:highlight w:val="none"/>
              </w:rPr>
            </w:pPr>
          </w:p>
        </w:tc>
        <w:tc>
          <w:tcPr>
            <w:tcW w:w="1440" w:type="dxa"/>
            <w:tcBorders>
              <w:top w:val="single" w:color="auto" w:sz="4" w:space="0"/>
              <w:left w:val="single" w:color="auto" w:sz="2" w:space="0"/>
              <w:bottom w:val="single" w:color="auto" w:sz="4" w:space="0"/>
              <w:right w:val="single" w:color="auto" w:sz="2" w:space="0"/>
            </w:tcBorders>
            <w:vAlign w:val="top"/>
          </w:tcPr>
          <w:p>
            <w:pPr>
              <w:snapToGrid w:val="0"/>
              <w:spacing w:before="50" w:afterLines="50" w:line="400" w:lineRule="exact"/>
              <w:jc w:val="left"/>
              <w:rPr>
                <w:rFonts w:ascii="宋体" w:hAnsi="宋体"/>
                <w:color w:val="auto"/>
                <w:sz w:val="24"/>
                <w:szCs w:val="20"/>
                <w:highlight w:val="none"/>
              </w:rPr>
            </w:pPr>
            <w:r>
              <w:rPr>
                <w:rFonts w:hint="eastAsia" w:ascii="宋体" w:hAnsi="宋体"/>
                <w:color w:val="auto"/>
                <w:sz w:val="24"/>
                <w:highlight w:val="none"/>
              </w:rPr>
              <w:t>联系电话</w:t>
            </w:r>
          </w:p>
        </w:tc>
        <w:tc>
          <w:tcPr>
            <w:tcW w:w="2325" w:type="dxa"/>
            <w:gridSpan w:val="2"/>
            <w:tcBorders>
              <w:top w:val="single" w:color="auto" w:sz="4" w:space="0"/>
              <w:left w:val="single" w:color="auto" w:sz="2" w:space="0"/>
              <w:bottom w:val="single" w:color="auto" w:sz="4" w:space="0"/>
              <w:right w:val="single" w:color="auto" w:sz="4" w:space="0"/>
            </w:tcBorders>
            <w:vAlign w:val="top"/>
          </w:tcPr>
          <w:p>
            <w:pPr>
              <w:snapToGrid w:val="0"/>
              <w:spacing w:before="50" w:afterLines="50" w:line="400" w:lineRule="exact"/>
              <w:jc w:val="left"/>
              <w:rPr>
                <w:rFonts w:ascii="宋体" w:hAnsi="宋体"/>
                <w:color w:val="auto"/>
                <w:sz w:val="24"/>
                <w:szCs w:val="20"/>
                <w:highlight w:val="none"/>
              </w:rPr>
            </w:pPr>
          </w:p>
        </w:tc>
      </w:tr>
    </w:tbl>
    <w:p>
      <w:pPr>
        <w:spacing w:line="460" w:lineRule="exact"/>
        <w:ind w:firstLine="5280" w:firstLineChars="2200"/>
        <w:rPr>
          <w:rFonts w:ascii="宋体" w:hAnsi="宋体"/>
          <w:color w:val="auto"/>
          <w:sz w:val="24"/>
          <w:highlight w:val="none"/>
        </w:rPr>
      </w:pPr>
    </w:p>
    <w:p>
      <w:pPr>
        <w:spacing w:line="460" w:lineRule="exact"/>
        <w:ind w:firstLine="5280" w:firstLineChars="2200"/>
        <w:rPr>
          <w:rFonts w:ascii="宋体" w:hAnsi="宋体"/>
          <w:color w:val="auto"/>
          <w:sz w:val="24"/>
          <w:highlight w:val="none"/>
        </w:rPr>
      </w:pPr>
    </w:p>
    <w:p>
      <w:pPr>
        <w:wordWrap w:val="0"/>
        <w:autoSpaceDE w:val="0"/>
        <w:autoSpaceDN w:val="0"/>
        <w:adjustRightInd w:val="0"/>
        <w:spacing w:line="440" w:lineRule="exact"/>
        <w:jc w:val="righ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谈判响应方（公章）：     </w:t>
      </w:r>
    </w:p>
    <w:p>
      <w:pPr>
        <w:wordWrap w:val="0"/>
        <w:autoSpaceDE w:val="0"/>
        <w:autoSpaceDN w:val="0"/>
        <w:adjustRightInd w:val="0"/>
        <w:spacing w:line="440" w:lineRule="exact"/>
        <w:jc w:val="righ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法定代表人或授权代表（签字）：     </w:t>
      </w:r>
    </w:p>
    <w:p>
      <w:pPr>
        <w:autoSpaceDE w:val="0"/>
        <w:autoSpaceDN w:val="0"/>
        <w:adjustRightInd w:val="0"/>
        <w:spacing w:line="440" w:lineRule="exact"/>
        <w:rPr>
          <w:rFonts w:ascii="宋体" w:hAnsi="宋体"/>
          <w:color w:val="auto"/>
          <w:kern w:val="0"/>
          <w:sz w:val="24"/>
          <w:highlight w:val="none"/>
        </w:rPr>
      </w:pPr>
      <w:r>
        <w:rPr>
          <w:rFonts w:hint="eastAsia" w:ascii="宋体" w:hAnsi="宋体" w:cs="仿宋_GB2312"/>
          <w:color w:val="auto"/>
          <w:kern w:val="0"/>
          <w:sz w:val="24"/>
          <w:highlight w:val="none"/>
          <w:lang w:val="zh-CN"/>
        </w:rPr>
        <w:t xml:space="preserve">                                              日期：</w:t>
      </w:r>
      <w:r>
        <w:rPr>
          <w:rFonts w:ascii="宋体" w:hAnsi="宋体" w:cs="仿宋_GB2312"/>
          <w:color w:val="auto"/>
          <w:kern w:val="0"/>
          <w:sz w:val="24"/>
          <w:highlight w:val="none"/>
          <w:lang w:val="zh-CN"/>
        </w:rPr>
        <w:t>20</w:t>
      </w:r>
      <w:r>
        <w:rPr>
          <w:rFonts w:hint="eastAsia" w:ascii="宋体" w:hAnsi="宋体" w:cs="仿宋_GB2312"/>
          <w:color w:val="auto"/>
          <w:kern w:val="0"/>
          <w:sz w:val="24"/>
          <w:highlight w:val="none"/>
          <w:lang w:val="zh-CN"/>
        </w:rPr>
        <w:t xml:space="preserve">  年</w:t>
      </w:r>
      <w:r>
        <w:rPr>
          <w:rFonts w:ascii="宋体" w:hAnsi="宋体" w:cs="仿宋_GB2312"/>
          <w:color w:val="auto"/>
          <w:kern w:val="0"/>
          <w:sz w:val="24"/>
          <w:highlight w:val="none"/>
          <w:lang w:val="zh-CN"/>
        </w:rPr>
        <w:t xml:space="preserve">  </w:t>
      </w:r>
      <w:r>
        <w:rPr>
          <w:rFonts w:hint="eastAsia" w:ascii="宋体" w:hAnsi="宋体" w:cs="仿宋_GB2312"/>
          <w:color w:val="auto"/>
          <w:kern w:val="0"/>
          <w:sz w:val="24"/>
          <w:highlight w:val="none"/>
          <w:lang w:val="zh-CN"/>
        </w:rPr>
        <w:t>月</w:t>
      </w:r>
      <w:r>
        <w:rPr>
          <w:rFonts w:ascii="宋体" w:hAnsi="宋体" w:cs="仿宋_GB2312"/>
          <w:color w:val="auto"/>
          <w:kern w:val="0"/>
          <w:sz w:val="24"/>
          <w:highlight w:val="none"/>
          <w:lang w:val="zh-CN"/>
        </w:rPr>
        <w:t xml:space="preserve">   </w:t>
      </w:r>
      <w:r>
        <w:rPr>
          <w:rFonts w:hint="eastAsia" w:ascii="宋体" w:hAnsi="宋体" w:cs="仿宋_GB2312"/>
          <w:color w:val="auto"/>
          <w:kern w:val="0"/>
          <w:sz w:val="24"/>
          <w:highlight w:val="none"/>
          <w:lang w:val="zh-CN"/>
        </w:rPr>
        <w:t xml:space="preserve">日   </w:t>
      </w:r>
    </w:p>
    <w:p>
      <w:pPr>
        <w:autoSpaceDE w:val="0"/>
        <w:autoSpaceDN w:val="0"/>
        <w:adjustRightInd w:val="0"/>
        <w:spacing w:line="440" w:lineRule="exact"/>
        <w:rPr>
          <w:rFonts w:ascii="宋体" w:hAnsi="宋体"/>
          <w:color w:val="auto"/>
          <w:kern w:val="0"/>
          <w:sz w:val="24"/>
          <w:highlight w:val="none"/>
        </w:rPr>
      </w:pPr>
    </w:p>
    <w:p>
      <w:pPr>
        <w:jc w:val="center"/>
        <w:rPr>
          <w:rFonts w:ascii="宋体" w:hAnsi="宋体" w:cs="宋体"/>
          <w:b/>
          <w:color w:val="auto"/>
          <w:sz w:val="32"/>
          <w:szCs w:val="32"/>
          <w:highlight w:val="none"/>
        </w:rPr>
      </w:pPr>
      <w:r>
        <w:rPr>
          <w:rFonts w:ascii="宋体" w:hAnsi="宋体"/>
          <w:b/>
          <w:bCs/>
          <w:color w:val="auto"/>
          <w:sz w:val="24"/>
          <w:highlight w:val="none"/>
        </w:rPr>
        <w:br w:type="page"/>
      </w:r>
      <w:bookmarkEnd w:id="30"/>
      <w:bookmarkEnd w:id="31"/>
      <w:r>
        <w:rPr>
          <w:rFonts w:hint="eastAsia" w:ascii="宋体" w:hAnsi="宋体"/>
          <w:b/>
          <w:bCs/>
          <w:color w:val="auto"/>
          <w:sz w:val="24"/>
          <w:highlight w:val="none"/>
          <w:lang w:val="en-US" w:eastAsia="zh-CN"/>
        </w:rPr>
        <w:t xml:space="preserve"> </w:t>
      </w:r>
      <w:r>
        <w:rPr>
          <w:rFonts w:hint="eastAsia" w:ascii="宋体" w:hAnsi="宋体" w:cs="宋体"/>
          <w:b/>
          <w:color w:val="auto"/>
          <w:sz w:val="32"/>
          <w:szCs w:val="32"/>
          <w:highlight w:val="none"/>
        </w:rPr>
        <w:t>十、中小企业证明材料</w:t>
      </w:r>
    </w:p>
    <w:p>
      <w:pPr>
        <w:pStyle w:val="3"/>
        <w:widowControl/>
        <w:tabs>
          <w:tab w:val="left" w:pos="432"/>
        </w:tabs>
        <w:spacing w:line="240" w:lineRule="atLeast"/>
        <w:jc w:val="center"/>
        <w:rPr>
          <w:rFonts w:hint="eastAsia" w:ascii="宋体" w:hAnsi="宋体" w:eastAsia="宋体" w:cs="宋体"/>
          <w:color w:val="auto"/>
          <w:sz w:val="32"/>
          <w:szCs w:val="32"/>
          <w:highlight w:val="none"/>
        </w:rPr>
      </w:pPr>
      <w:bookmarkStart w:id="32" w:name="OLE_LINK14"/>
      <w:bookmarkStart w:id="33" w:name="OLE_LINK13"/>
      <w:r>
        <w:rPr>
          <w:rFonts w:hint="eastAsia" w:ascii="宋体" w:hAnsi="宋体" w:eastAsia="宋体" w:cs="宋体"/>
          <w:color w:val="auto"/>
          <w:sz w:val="32"/>
          <w:szCs w:val="32"/>
          <w:highlight w:val="none"/>
        </w:rPr>
        <w:t>（一）中小企业声明函</w:t>
      </w:r>
    </w:p>
    <w:p>
      <w:pPr>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本公司郑重声明，根据《政府采购促进中小企业发展暂行办法》（财库[2011]181号）的规定，本公司为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（请填写：中型、小型、微型）企业。即，本公司同时满足以下条件：</w:t>
      </w:r>
    </w:p>
    <w:p>
      <w:pPr>
        <w:pStyle w:val="53"/>
        <w:widowControl/>
        <w:numPr>
          <w:ilvl w:val="0"/>
          <w:numId w:val="5"/>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根据《工业和信息化部、国家统计局、国家发展和改革委员会、财政部关于印</w:t>
      </w:r>
    </w:p>
    <w:p>
      <w:pPr>
        <w:pStyle w:val="53"/>
        <w:widowControl/>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发中小企业划型标准规定的通知》（工信部联企业[2011]300号）规定的划分标准，本公司为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（请填写：中型、小型、微型）企业。</w:t>
      </w:r>
    </w:p>
    <w:p>
      <w:pPr>
        <w:pStyle w:val="53"/>
        <w:widowControl/>
        <w:numPr>
          <w:ilvl w:val="0"/>
          <w:numId w:val="5"/>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项目采购活动提供本企业制造的货物，由</w:t>
      </w:r>
    </w:p>
    <w:p>
      <w:pPr>
        <w:pStyle w:val="53"/>
        <w:widowControl/>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本企业承担工程、提供服务，或者提供其他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（请填写：中型、小型、微型）企业制造的货物。本条所称货物不包括使用大型企业注册商标的货物。</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本公司对上述声明的真实性负责。如有虚假，将依法承担相应责任。</w:t>
      </w:r>
    </w:p>
    <w:p>
      <w:pPr>
        <w:spacing w:line="360" w:lineRule="auto"/>
        <w:jc w:val="right"/>
        <w:rPr>
          <w:rFonts w:hint="eastAsia" w:ascii="宋体" w:hAnsi="宋体" w:eastAsia="宋体" w:cs="宋体"/>
          <w:color w:val="auto"/>
          <w:sz w:val="24"/>
          <w:szCs w:val="24"/>
          <w:highlight w:val="none"/>
        </w:rPr>
      </w:pPr>
    </w:p>
    <w:p>
      <w:pPr>
        <w:spacing w:line="360" w:lineRule="auto"/>
        <w:ind w:right="420" w:firstLine="4560" w:firstLineChars="19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企业名称（盖章）：                                 </w:t>
      </w:r>
    </w:p>
    <w:p>
      <w:pPr>
        <w:spacing w:line="360" w:lineRule="auto"/>
        <w:ind w:right="420" w:firstLine="4080" w:firstLineChars="1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年     月   日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rPr>
          <w:rFonts w:hint="eastAsia" w:ascii="宋体" w:hAnsi="宋体" w:eastAsia="宋体" w:cs="宋体"/>
          <w:color w:val="auto"/>
          <w:sz w:val="32"/>
          <w:szCs w:val="32"/>
          <w:highlight w:val="none"/>
        </w:rPr>
      </w:pPr>
    </w:p>
    <w:p>
      <w:pPr>
        <w:rPr>
          <w:rFonts w:hint="eastAsia" w:ascii="宋体" w:hAnsi="宋体" w:eastAsia="宋体" w:cs="宋体"/>
          <w:color w:val="auto"/>
          <w:sz w:val="32"/>
          <w:szCs w:val="32"/>
          <w:highlight w:val="none"/>
        </w:rPr>
      </w:pPr>
    </w:p>
    <w:p>
      <w:pPr>
        <w:rPr>
          <w:rFonts w:hint="eastAsia" w:ascii="宋体" w:hAnsi="宋体" w:eastAsia="宋体" w:cs="宋体"/>
          <w:color w:val="auto"/>
          <w:sz w:val="32"/>
          <w:szCs w:val="32"/>
          <w:highlight w:val="none"/>
        </w:rPr>
      </w:pPr>
    </w:p>
    <w:p>
      <w:pPr>
        <w:rPr>
          <w:rFonts w:hint="eastAsia" w:ascii="宋体" w:hAnsi="宋体" w:eastAsia="宋体" w:cs="宋体"/>
          <w:color w:val="auto"/>
          <w:sz w:val="32"/>
          <w:szCs w:val="32"/>
          <w:highlight w:val="none"/>
        </w:rPr>
      </w:pPr>
    </w:p>
    <w:p>
      <w:pPr>
        <w:rPr>
          <w:rFonts w:hint="eastAsia" w:ascii="宋体" w:hAnsi="宋体" w:eastAsia="宋体" w:cs="宋体"/>
          <w:color w:val="auto"/>
          <w:sz w:val="32"/>
          <w:szCs w:val="32"/>
          <w:highlight w:val="none"/>
        </w:rPr>
      </w:pPr>
    </w:p>
    <w:p>
      <w:pPr>
        <w:numPr>
          <w:numId w:val="0"/>
        </w:numPr>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（二）承诺书</w:t>
      </w:r>
    </w:p>
    <w:p>
      <w:pPr>
        <w:widowControl w:val="0"/>
        <w:wordWrap/>
        <w:adjustRightInd/>
        <w:snapToGrid/>
        <w:spacing w:line="500" w:lineRule="exact"/>
        <w:ind w:left="0" w:leftChars="0" w:right="0" w:firstLine="480" w:firstLineChars="200"/>
        <w:jc w:val="both"/>
        <w:textAlignment w:val="auto"/>
        <w:outlineLvl w:val="9"/>
        <w:rPr>
          <w:rFonts w:hint="eastAsia" w:ascii="宋体" w:hAnsi="宋体" w:eastAsia="宋体" w:cs="宋体"/>
          <w:color w:val="auto"/>
          <w:sz w:val="24"/>
          <w:szCs w:val="24"/>
          <w:highlight w:val="none"/>
          <w:u w:val="single" w:color="auto"/>
          <w:lang w:val="en-US" w:eastAsia="zh-CN"/>
        </w:rPr>
      </w:pPr>
      <w:r>
        <w:rPr>
          <w:rFonts w:hint="eastAsia" w:ascii="宋体" w:hAnsi="宋体" w:eastAsia="宋体" w:cs="宋体"/>
          <w:color w:val="auto"/>
          <w:sz w:val="24"/>
          <w:szCs w:val="24"/>
          <w:highlight w:val="none"/>
          <w:lang w:eastAsia="zh-CN"/>
        </w:rPr>
        <w:t>我单位</w:t>
      </w:r>
      <w:r>
        <w:rPr>
          <w:rFonts w:hint="eastAsia" w:ascii="宋体" w:hAnsi="宋体" w:eastAsia="宋体" w:cs="宋体"/>
          <w:color w:val="auto"/>
          <w:sz w:val="24"/>
          <w:szCs w:val="24"/>
          <w:highlight w:val="none"/>
        </w:rPr>
        <w:t>根据《工业和信息化部、国家统计局、国家发展和改革委员会、财政部关于印发中小企业划型标准规定的通知》（工信部联企业〔2011〕300号）规定的划</w:t>
      </w:r>
      <w:r>
        <w:rPr>
          <w:rFonts w:hint="eastAsia" w:ascii="宋体" w:hAnsi="宋体" w:eastAsia="宋体" w:cs="宋体"/>
          <w:color w:val="auto"/>
          <w:sz w:val="24"/>
          <w:szCs w:val="24"/>
          <w:highlight w:val="none"/>
          <w:lang w:eastAsia="zh-CN"/>
        </w:rPr>
        <w:t>型</w:t>
      </w:r>
      <w:r>
        <w:rPr>
          <w:rFonts w:hint="eastAsia" w:ascii="宋体" w:hAnsi="宋体" w:eastAsia="宋体" w:cs="宋体"/>
          <w:color w:val="auto"/>
          <w:sz w:val="24"/>
          <w:szCs w:val="24"/>
          <w:highlight w:val="none"/>
        </w:rPr>
        <w:t>标准</w:t>
      </w:r>
      <w:r>
        <w:rPr>
          <w:rFonts w:hint="eastAsia" w:ascii="宋体" w:hAnsi="宋体" w:eastAsia="宋体" w:cs="宋体"/>
          <w:color w:val="auto"/>
          <w:sz w:val="24"/>
          <w:szCs w:val="24"/>
          <w:highlight w:val="none"/>
          <w:lang w:eastAsia="zh-CN"/>
        </w:rPr>
        <w:t>，主营业务属于</w:t>
      </w:r>
      <w:r>
        <w:rPr>
          <w:rFonts w:hint="eastAsia" w:ascii="宋体" w:hAnsi="宋体" w:eastAsia="宋体" w:cs="宋体"/>
          <w:color w:val="auto"/>
          <w:sz w:val="24"/>
          <w:szCs w:val="24"/>
          <w:highlight w:val="none"/>
          <w:u w:val="single" w:color="auto"/>
          <w:lang w:val="en-US" w:eastAsia="zh-CN"/>
        </w:rPr>
        <w:t xml:space="preserve">                                                    </w:t>
      </w:r>
    </w:p>
    <w:p>
      <w:pPr>
        <w:widowControl w:val="0"/>
        <w:wordWrap/>
        <w:adjustRightInd/>
        <w:snapToGrid/>
        <w:spacing w:line="500" w:lineRule="exact"/>
        <w:ind w:right="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u w:val="single" w:color="auto"/>
          <w:lang w:val="en-US" w:eastAsia="zh-CN"/>
        </w:rPr>
        <w:t xml:space="preserve">                                                       </w:t>
      </w:r>
      <w:r>
        <w:rPr>
          <w:rFonts w:hint="eastAsia" w:ascii="宋体" w:hAnsi="宋体" w:eastAsia="宋体" w:cs="宋体"/>
          <w:color w:val="auto"/>
          <w:sz w:val="24"/>
          <w:szCs w:val="24"/>
          <w:highlight w:val="none"/>
          <w:lang w:val="en-US" w:eastAsia="zh-CN"/>
        </w:rPr>
        <w:t>行业</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eastAsia="zh-CN"/>
        </w:rPr>
        <w:t>）农、林、牧、渔业（</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eastAsia="zh-CN"/>
        </w:rPr>
        <w:t>）工业（</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eastAsia="zh-CN"/>
        </w:rPr>
        <w:t>）建筑业（</w:t>
      </w: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eastAsia="zh-CN"/>
        </w:rPr>
        <w:t>）批发业（</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eastAsia="zh-CN"/>
        </w:rPr>
        <w:t>）零售业（</w:t>
      </w: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lang w:eastAsia="zh-CN"/>
        </w:rPr>
        <w:t>）交通运输业（</w:t>
      </w: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lang w:eastAsia="zh-CN"/>
        </w:rPr>
        <w:t>）仓储业（</w:t>
      </w: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lang w:eastAsia="zh-CN"/>
        </w:rPr>
        <w:t>）邮政业（</w:t>
      </w:r>
      <w:r>
        <w:rPr>
          <w:rFonts w:hint="eastAsia" w:ascii="宋体" w:hAnsi="宋体" w:eastAsia="宋体" w:cs="宋体"/>
          <w:b/>
          <w:bCs/>
          <w:color w:val="auto"/>
          <w:sz w:val="24"/>
          <w:szCs w:val="24"/>
          <w:highlight w:val="none"/>
          <w:lang w:val="en-US" w:eastAsia="zh-CN"/>
        </w:rPr>
        <w:t>9</w:t>
      </w:r>
      <w:r>
        <w:rPr>
          <w:rFonts w:hint="eastAsia" w:ascii="宋体" w:hAnsi="宋体" w:eastAsia="宋体" w:cs="宋体"/>
          <w:b/>
          <w:bCs/>
          <w:color w:val="auto"/>
          <w:sz w:val="24"/>
          <w:szCs w:val="24"/>
          <w:highlight w:val="none"/>
          <w:lang w:eastAsia="zh-CN"/>
        </w:rPr>
        <w:t>）住宿业（</w:t>
      </w:r>
      <w:r>
        <w:rPr>
          <w:rFonts w:hint="eastAsia" w:ascii="宋体" w:hAnsi="宋体"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lang w:eastAsia="zh-CN"/>
        </w:rPr>
        <w:t>）餐饮业（</w:t>
      </w:r>
      <w:r>
        <w:rPr>
          <w:rFonts w:hint="eastAsia" w:ascii="宋体" w:hAnsi="宋体" w:eastAsia="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eastAsia="zh-CN"/>
        </w:rPr>
        <w:t>）信息传输业（</w:t>
      </w:r>
      <w:r>
        <w:rPr>
          <w:rFonts w:hint="eastAsia" w:ascii="宋体" w:hAnsi="宋体" w:eastAsia="宋体" w:cs="宋体"/>
          <w:b/>
          <w:bCs/>
          <w:color w:val="auto"/>
          <w:sz w:val="24"/>
          <w:szCs w:val="24"/>
          <w:highlight w:val="none"/>
          <w:lang w:val="en-US" w:eastAsia="zh-CN"/>
        </w:rPr>
        <w:t>12</w:t>
      </w:r>
      <w:r>
        <w:rPr>
          <w:rFonts w:hint="eastAsia" w:ascii="宋体" w:hAnsi="宋体" w:eastAsia="宋体" w:cs="宋体"/>
          <w:b/>
          <w:bCs/>
          <w:color w:val="auto"/>
          <w:sz w:val="24"/>
          <w:szCs w:val="24"/>
          <w:highlight w:val="none"/>
          <w:lang w:eastAsia="zh-CN"/>
        </w:rPr>
        <w:t>）软件和信息技术服务业（</w:t>
      </w:r>
      <w:r>
        <w:rPr>
          <w:rFonts w:hint="eastAsia" w:ascii="宋体" w:hAnsi="宋体" w:eastAsia="宋体" w:cs="宋体"/>
          <w:b/>
          <w:bCs/>
          <w:color w:val="auto"/>
          <w:sz w:val="24"/>
          <w:szCs w:val="24"/>
          <w:highlight w:val="none"/>
          <w:lang w:val="en-US" w:eastAsia="zh-CN"/>
        </w:rPr>
        <w:t>13</w:t>
      </w:r>
      <w:r>
        <w:rPr>
          <w:rFonts w:hint="eastAsia" w:ascii="宋体" w:hAnsi="宋体" w:eastAsia="宋体" w:cs="宋体"/>
          <w:b/>
          <w:bCs/>
          <w:color w:val="auto"/>
          <w:sz w:val="24"/>
          <w:szCs w:val="24"/>
          <w:highlight w:val="none"/>
          <w:lang w:eastAsia="zh-CN"/>
        </w:rPr>
        <w:t>）房地产开发经营（</w:t>
      </w:r>
      <w:r>
        <w:rPr>
          <w:rFonts w:hint="eastAsia" w:ascii="宋体" w:hAnsi="宋体" w:eastAsia="宋体" w:cs="宋体"/>
          <w:b/>
          <w:bCs/>
          <w:color w:val="auto"/>
          <w:sz w:val="24"/>
          <w:szCs w:val="24"/>
          <w:highlight w:val="none"/>
          <w:lang w:val="en-US" w:eastAsia="zh-CN"/>
        </w:rPr>
        <w:t>14</w:t>
      </w:r>
      <w:r>
        <w:rPr>
          <w:rFonts w:hint="eastAsia" w:ascii="宋体" w:hAnsi="宋体" w:eastAsia="宋体" w:cs="宋体"/>
          <w:b/>
          <w:bCs/>
          <w:color w:val="auto"/>
          <w:sz w:val="24"/>
          <w:szCs w:val="24"/>
          <w:highlight w:val="none"/>
          <w:lang w:eastAsia="zh-CN"/>
        </w:rPr>
        <w:t>）物业管理（</w:t>
      </w:r>
      <w:r>
        <w:rPr>
          <w:rFonts w:hint="eastAsia" w:ascii="宋体" w:hAnsi="宋体" w:eastAsia="宋体" w:cs="宋体"/>
          <w:b/>
          <w:bCs/>
          <w:color w:val="auto"/>
          <w:sz w:val="24"/>
          <w:szCs w:val="24"/>
          <w:highlight w:val="none"/>
          <w:lang w:val="en-US" w:eastAsia="zh-CN"/>
        </w:rPr>
        <w:t>15</w:t>
      </w:r>
      <w:r>
        <w:rPr>
          <w:rFonts w:hint="eastAsia" w:ascii="宋体" w:hAnsi="宋体" w:eastAsia="宋体" w:cs="宋体"/>
          <w:b/>
          <w:bCs/>
          <w:color w:val="auto"/>
          <w:sz w:val="24"/>
          <w:szCs w:val="24"/>
          <w:highlight w:val="none"/>
          <w:lang w:eastAsia="zh-CN"/>
        </w:rPr>
        <w:t>）租赁和商务服务业（</w:t>
      </w:r>
      <w:r>
        <w:rPr>
          <w:rFonts w:hint="eastAsia" w:ascii="宋体" w:hAnsi="宋体" w:eastAsia="宋体" w:cs="宋体"/>
          <w:b/>
          <w:bCs/>
          <w:color w:val="auto"/>
          <w:sz w:val="24"/>
          <w:szCs w:val="24"/>
          <w:highlight w:val="none"/>
          <w:lang w:val="en-US" w:eastAsia="zh-CN"/>
        </w:rPr>
        <w:t>16</w:t>
      </w:r>
      <w:r>
        <w:rPr>
          <w:rFonts w:hint="eastAsia" w:ascii="宋体" w:hAnsi="宋体" w:eastAsia="宋体" w:cs="宋体"/>
          <w:b/>
          <w:bCs/>
          <w:color w:val="auto"/>
          <w:sz w:val="24"/>
          <w:szCs w:val="24"/>
          <w:highlight w:val="none"/>
          <w:lang w:eastAsia="zh-CN"/>
        </w:rPr>
        <w:t>）其他未列明行业）</w:t>
      </w:r>
      <w:r>
        <w:rPr>
          <w:rFonts w:hint="eastAsia" w:ascii="宋体" w:hAnsi="宋体" w:eastAsia="宋体" w:cs="宋体"/>
          <w:color w:val="auto"/>
          <w:sz w:val="24"/>
          <w:szCs w:val="24"/>
          <w:highlight w:val="none"/>
          <w:lang w:eastAsia="zh-CN"/>
        </w:rPr>
        <w:t>，并提交如下材料：</w:t>
      </w:r>
    </w:p>
    <w:p>
      <w:pPr>
        <w:widowControl w:val="0"/>
        <w:wordWrap/>
        <w:adjustRightInd/>
        <w:snapToGrid/>
        <w:spacing w:line="500" w:lineRule="exact"/>
        <w:ind w:right="0"/>
        <w:jc w:val="both"/>
        <w:textAlignment w:val="auto"/>
        <w:outlineLvl w:val="9"/>
        <w:rPr>
          <w:rFonts w:hint="eastAsia" w:ascii="宋体" w:hAnsi="宋体" w:cs="宋体"/>
          <w:b w:val="0"/>
          <w:bCs w:val="0"/>
          <w:color w:val="auto"/>
          <w:sz w:val="24"/>
          <w:szCs w:val="24"/>
          <w:highlight w:val="none"/>
          <w:lang w:eastAsia="zh-CN"/>
        </w:rPr>
      </w:pPr>
      <w:r>
        <w:rPr>
          <w:rFonts w:hint="eastAsia" w:ascii="宋体" w:hAnsi="宋体" w:cs="宋体"/>
          <w:b w:val="0"/>
          <w:bCs w:val="0"/>
          <w:color w:val="auto"/>
          <w:sz w:val="24"/>
          <w:szCs w:val="24"/>
          <w:highlight w:val="none"/>
          <w:lang w:val="en-US" w:eastAsia="zh-CN"/>
        </w:rPr>
        <w:t xml:space="preserve">    1、</w:t>
      </w:r>
      <w:r>
        <w:rPr>
          <w:rFonts w:hint="eastAsia" w:ascii="宋体" w:hAnsi="宋体" w:eastAsia="宋体" w:cs="宋体"/>
          <w:b w:val="0"/>
          <w:bCs w:val="0"/>
          <w:color w:val="auto"/>
          <w:sz w:val="24"/>
          <w:szCs w:val="24"/>
          <w:highlight w:val="none"/>
          <w:lang w:eastAsia="zh-CN"/>
        </w:rPr>
        <w:t>营业执照副本复印件</w:t>
      </w:r>
      <w:r>
        <w:rPr>
          <w:rFonts w:hint="eastAsia" w:ascii="宋体" w:hAnsi="宋体" w:cs="宋体"/>
          <w:b w:val="0"/>
          <w:bCs w:val="0"/>
          <w:color w:val="auto"/>
          <w:sz w:val="24"/>
          <w:szCs w:val="24"/>
          <w:highlight w:val="none"/>
          <w:lang w:eastAsia="zh-CN"/>
        </w:rPr>
        <w:t>；</w:t>
      </w:r>
    </w:p>
    <w:p>
      <w:pPr>
        <w:widowControl w:val="0"/>
        <w:wordWrap/>
        <w:adjustRightInd/>
        <w:snapToGrid/>
        <w:spacing w:line="500" w:lineRule="exact"/>
        <w:ind w:right="0"/>
        <w:jc w:val="both"/>
        <w:textAlignment w:val="auto"/>
        <w:outlineLvl w:val="9"/>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 xml:space="preserve">    2、</w:t>
      </w:r>
      <w:r>
        <w:rPr>
          <w:rFonts w:hint="eastAsia" w:ascii="宋体" w:hAnsi="宋体" w:eastAsia="宋体" w:cs="宋体"/>
          <w:b w:val="0"/>
          <w:bCs w:val="0"/>
          <w:color w:val="auto"/>
          <w:sz w:val="24"/>
          <w:szCs w:val="24"/>
          <w:highlight w:val="none"/>
          <w:lang w:val="en-US" w:eastAsia="zh-CN"/>
        </w:rPr>
        <w:t>企业上年度财务报表（企业利润表、企业资产负债表）</w:t>
      </w:r>
      <w:r>
        <w:rPr>
          <w:rFonts w:hint="eastAsia" w:ascii="宋体" w:hAnsi="宋体" w:cs="宋体"/>
          <w:b w:val="0"/>
          <w:bCs w:val="0"/>
          <w:color w:val="auto"/>
          <w:sz w:val="24"/>
          <w:szCs w:val="24"/>
          <w:highlight w:val="none"/>
          <w:lang w:val="en-US" w:eastAsia="zh-CN"/>
        </w:rPr>
        <w:t>；</w:t>
      </w:r>
    </w:p>
    <w:p>
      <w:pPr>
        <w:widowControl w:val="0"/>
        <w:wordWrap/>
        <w:adjustRightInd/>
        <w:snapToGrid/>
        <w:spacing w:line="500" w:lineRule="exact"/>
        <w:ind w:right="0" w:firstLine="480" w:firstLineChars="200"/>
        <w:jc w:val="both"/>
        <w:textAlignment w:val="auto"/>
        <w:outlineLvl w:val="9"/>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en-US" w:eastAsia="zh-CN"/>
        </w:rPr>
        <w:t>企业上年度从业人员证明材料（1-12月份社会保险基本结算表或社会保险费年度结算申报表、或其他证明材料）</w:t>
      </w:r>
      <w:r>
        <w:rPr>
          <w:rFonts w:hint="eastAsia" w:ascii="宋体" w:hAnsi="宋体" w:cs="宋体"/>
          <w:b w:val="0"/>
          <w:bCs w:val="0"/>
          <w:color w:val="auto"/>
          <w:sz w:val="24"/>
          <w:szCs w:val="24"/>
          <w:highlight w:val="none"/>
          <w:lang w:val="en-US" w:eastAsia="zh-CN"/>
        </w:rPr>
        <w:t>；</w:t>
      </w:r>
    </w:p>
    <w:p>
      <w:pPr>
        <w:widowControl w:val="0"/>
        <w:wordWrap/>
        <w:adjustRightInd/>
        <w:snapToGrid/>
        <w:spacing w:line="500" w:lineRule="exact"/>
        <w:ind w:right="0" w:firstLine="480" w:firstLineChars="20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val="en-US" w:eastAsia="zh-CN"/>
        </w:rPr>
        <w:t>其他能证明其为中小企业的证明材料</w:t>
      </w:r>
      <w:r>
        <w:rPr>
          <w:rFonts w:hint="eastAsia" w:ascii="宋体" w:hAnsi="宋体" w:cs="宋体"/>
          <w:b w:val="0"/>
          <w:bCs w:val="0"/>
          <w:color w:val="auto"/>
          <w:sz w:val="24"/>
          <w:szCs w:val="24"/>
          <w:highlight w:val="none"/>
          <w:lang w:val="en-US" w:eastAsia="zh-CN"/>
        </w:rPr>
        <w:t>。</w:t>
      </w:r>
    </w:p>
    <w:p>
      <w:pPr>
        <w:widowControl w:val="0"/>
        <w:wordWrap/>
        <w:adjustRightInd/>
        <w:snapToGrid/>
        <w:spacing w:line="500" w:lineRule="exact"/>
        <w:ind w:left="0" w:leftChars="0" w:right="0"/>
        <w:jc w:val="both"/>
        <w:textAlignment w:val="auto"/>
        <w:outlineLvl w:val="9"/>
        <w:rPr>
          <w:rFonts w:hint="eastAsia" w:ascii="宋体" w:hAnsi="宋体" w:eastAsia="宋体" w:cs="宋体"/>
          <w:b w:val="0"/>
          <w:i w:val="0"/>
          <w:caps w:val="0"/>
          <w:color w:val="auto"/>
          <w:spacing w:val="0"/>
          <w:sz w:val="24"/>
          <w:szCs w:val="24"/>
          <w:highlight w:val="none"/>
          <w:shd w:val="clear" w:color="080000" w:fill="FAFCFF"/>
        </w:rPr>
      </w:pPr>
      <w:r>
        <w:rPr>
          <w:rFonts w:hint="eastAsia" w:ascii="宋体" w:hAnsi="宋体" w:eastAsia="宋体" w:cs="宋体"/>
          <w:color w:val="auto"/>
          <w:sz w:val="24"/>
          <w:szCs w:val="24"/>
          <w:highlight w:val="none"/>
          <w:lang w:val="en-US" w:eastAsia="zh-CN"/>
        </w:rPr>
        <w:t xml:space="preserve">    我单位承诺：以上提交材料内容真实、有效。</w:t>
      </w:r>
      <w:r>
        <w:rPr>
          <w:rFonts w:hint="eastAsia" w:ascii="宋体" w:hAnsi="宋体" w:eastAsia="宋体" w:cs="宋体"/>
          <w:b w:val="0"/>
          <w:i w:val="0"/>
          <w:caps w:val="0"/>
          <w:color w:val="auto"/>
          <w:spacing w:val="0"/>
          <w:sz w:val="24"/>
          <w:szCs w:val="24"/>
          <w:highlight w:val="none"/>
          <w:shd w:val="clear" w:color="080000" w:fill="FAFCFF"/>
        </w:rPr>
        <w:t>如有不实</w:t>
      </w:r>
      <w:r>
        <w:rPr>
          <w:rFonts w:hint="eastAsia" w:ascii="宋体" w:hAnsi="宋体" w:eastAsia="宋体" w:cs="宋体"/>
          <w:b w:val="0"/>
          <w:i w:val="0"/>
          <w:caps w:val="0"/>
          <w:color w:val="auto"/>
          <w:spacing w:val="0"/>
          <w:sz w:val="24"/>
          <w:szCs w:val="24"/>
          <w:highlight w:val="none"/>
          <w:shd w:val="clear" w:color="080000" w:fill="FAFCFF"/>
          <w:lang w:val="en-US" w:eastAsia="zh-CN"/>
        </w:rPr>
        <w:t>,</w:t>
      </w:r>
      <w:r>
        <w:rPr>
          <w:rFonts w:hint="eastAsia" w:ascii="宋体" w:hAnsi="宋体" w:eastAsia="宋体" w:cs="宋体"/>
          <w:b w:val="0"/>
          <w:i w:val="0"/>
          <w:caps w:val="0"/>
          <w:color w:val="auto"/>
          <w:spacing w:val="0"/>
          <w:sz w:val="24"/>
          <w:szCs w:val="24"/>
          <w:highlight w:val="none"/>
          <w:shd w:val="clear" w:color="080000" w:fill="FAFCFF"/>
        </w:rPr>
        <w:t>愿负相应的法律责任并承担由此产生的一切后果。</w:t>
      </w:r>
    </w:p>
    <w:p>
      <w:pPr>
        <w:widowControl w:val="0"/>
        <w:wordWrap/>
        <w:adjustRightInd/>
        <w:snapToGrid/>
        <w:spacing w:line="500" w:lineRule="exact"/>
        <w:ind w:left="0" w:leftChars="0" w:right="0" w:firstLine="640"/>
        <w:jc w:val="both"/>
        <w:textAlignment w:val="auto"/>
        <w:outlineLvl w:val="9"/>
        <w:rPr>
          <w:rFonts w:hint="eastAsia" w:ascii="宋体" w:hAnsi="宋体" w:eastAsia="宋体" w:cs="宋体"/>
          <w:b w:val="0"/>
          <w:i w:val="0"/>
          <w:caps w:val="0"/>
          <w:color w:val="auto"/>
          <w:spacing w:val="0"/>
          <w:sz w:val="24"/>
          <w:szCs w:val="24"/>
          <w:highlight w:val="none"/>
          <w:shd w:val="clear" w:color="080000" w:fill="FAFCFF"/>
          <w:lang w:eastAsia="zh-CN"/>
        </w:rPr>
      </w:pPr>
      <w:r>
        <w:rPr>
          <w:rFonts w:hint="eastAsia" w:ascii="宋体" w:hAnsi="宋体" w:eastAsia="宋体" w:cs="宋体"/>
          <w:b w:val="0"/>
          <w:i w:val="0"/>
          <w:caps w:val="0"/>
          <w:color w:val="auto"/>
          <w:spacing w:val="0"/>
          <w:sz w:val="24"/>
          <w:szCs w:val="24"/>
          <w:highlight w:val="none"/>
          <w:shd w:val="clear" w:color="080000" w:fill="FAFCFF"/>
          <w:lang w:eastAsia="zh-CN"/>
        </w:rPr>
        <w:t>特此承诺。</w:t>
      </w:r>
    </w:p>
    <w:p>
      <w:pPr>
        <w:widowControl w:val="0"/>
        <w:wordWrap/>
        <w:adjustRightInd/>
        <w:snapToGrid/>
        <w:spacing w:line="500" w:lineRule="exact"/>
        <w:ind w:left="0" w:leftChars="0" w:right="0" w:firstLine="640"/>
        <w:jc w:val="both"/>
        <w:textAlignment w:val="auto"/>
        <w:outlineLvl w:val="9"/>
        <w:rPr>
          <w:rFonts w:hint="eastAsia" w:ascii="宋体" w:hAnsi="宋体" w:eastAsia="宋体" w:cs="宋体"/>
          <w:b w:val="0"/>
          <w:i w:val="0"/>
          <w:caps w:val="0"/>
          <w:color w:val="auto"/>
          <w:spacing w:val="0"/>
          <w:sz w:val="24"/>
          <w:szCs w:val="24"/>
          <w:highlight w:val="none"/>
          <w:shd w:val="clear" w:color="080000" w:fill="FAFCFF"/>
          <w:lang w:val="en-US" w:eastAsia="zh-CN"/>
        </w:rPr>
      </w:pP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公司名称：</w:t>
      </w: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经办人签字：</w:t>
      </w: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职    务：</w:t>
      </w: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联系电话：</w:t>
      </w: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办理日期：    年    月    日      </w:t>
      </w:r>
    </w:p>
    <w:p>
      <w:pPr>
        <w:spacing w:line="360" w:lineRule="auto"/>
        <w:ind w:firstLine="480" w:firstLineChars="200"/>
        <w:rPr>
          <w:rFonts w:hint="eastAsia" w:ascii="宋体" w:hAnsi="宋体" w:cs="宋体"/>
          <w:color w:val="auto"/>
          <w:sz w:val="24"/>
          <w:highlight w:val="none"/>
        </w:rPr>
      </w:pPr>
    </w:p>
    <w:p>
      <w:pPr>
        <w:widowControl w:val="0"/>
        <w:wordWrap/>
        <w:adjustRightInd/>
        <w:snapToGrid/>
        <w:spacing w:line="500" w:lineRule="exact"/>
        <w:ind w:left="0" w:leftChars="0" w:right="0"/>
        <w:jc w:val="both"/>
        <w:textAlignment w:val="auto"/>
        <w:outlineLvl w:val="9"/>
        <w:rPr>
          <w:rFonts w:hint="eastAsia" w:ascii="宋体" w:hAnsi="宋体" w:eastAsia="宋体" w:cs="宋体"/>
          <w:color w:val="auto"/>
          <w:sz w:val="24"/>
          <w:szCs w:val="24"/>
          <w:highlight w:val="none"/>
          <w:lang w:val="en-US" w:eastAsia="zh-CN"/>
        </w:rPr>
      </w:pPr>
    </w:p>
    <w:p>
      <w:pPr>
        <w:widowControl/>
        <w:tabs>
          <w:tab w:val="left" w:pos="432"/>
        </w:tabs>
        <w:spacing w:line="240" w:lineRule="atLeast"/>
        <w:jc w:val="center"/>
        <w:rPr>
          <w:rFonts w:ascii="宋体" w:hAnsi="宋体" w:cs="宋体"/>
          <w:b/>
          <w:color w:val="auto"/>
          <w:spacing w:val="6"/>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rPr>
        <w:br w:type="page"/>
      </w:r>
      <w:r>
        <w:rPr>
          <w:rFonts w:hint="eastAsia" w:ascii="宋体" w:hAnsi="宋体" w:cs="宋体"/>
          <w:color w:val="auto"/>
          <w:sz w:val="28"/>
          <w:szCs w:val="28"/>
          <w:highlight w:val="none"/>
        </w:rPr>
        <w:t>（三）</w:t>
      </w:r>
      <w:r>
        <w:rPr>
          <w:rFonts w:hint="eastAsia" w:ascii="宋体" w:hAnsi="宋体" w:cs="宋体"/>
          <w:b/>
          <w:color w:val="auto"/>
          <w:sz w:val="28"/>
          <w:szCs w:val="28"/>
          <w:highlight w:val="none"/>
        </w:rPr>
        <w:t>残疾人福利性单位声明函</w:t>
      </w:r>
      <w:bookmarkEnd w:id="32"/>
      <w:bookmarkEnd w:id="33"/>
    </w:p>
    <w:p>
      <w:pPr>
        <w:spacing w:line="588"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本单位对上述声明的真实性负责。如有虚假，将依法承担相应责任。</w:t>
      </w:r>
    </w:p>
    <w:p>
      <w:pPr>
        <w:spacing w:line="588" w:lineRule="exact"/>
        <w:ind w:firstLine="560" w:firstLineChars="200"/>
        <w:rPr>
          <w:rFonts w:ascii="宋体" w:hAnsi="宋体" w:cs="宋体"/>
          <w:color w:val="auto"/>
          <w:sz w:val="28"/>
          <w:szCs w:val="28"/>
          <w:highlight w:val="none"/>
        </w:rPr>
      </w:pPr>
    </w:p>
    <w:p>
      <w:pPr>
        <w:spacing w:line="588" w:lineRule="exact"/>
        <w:ind w:firstLine="560" w:firstLineChars="200"/>
        <w:rPr>
          <w:rFonts w:ascii="宋体" w:hAnsi="宋体" w:cs="宋体"/>
          <w:color w:val="auto"/>
          <w:sz w:val="28"/>
          <w:szCs w:val="28"/>
          <w:highlight w:val="none"/>
        </w:rPr>
      </w:pPr>
    </w:p>
    <w:p>
      <w:pPr>
        <w:tabs>
          <w:tab w:val="left" w:pos="4860"/>
        </w:tabs>
        <w:spacing w:line="588" w:lineRule="exact"/>
        <w:ind w:right="1560" w:firstLine="560" w:firstLineChars="200"/>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单位名称（盖章）：</w:t>
      </w:r>
    </w:p>
    <w:p>
      <w:pPr>
        <w:tabs>
          <w:tab w:val="left" w:pos="4860"/>
        </w:tabs>
        <w:spacing w:line="588" w:lineRule="exact"/>
        <w:ind w:right="1560" w:firstLine="560" w:firstLineChars="200"/>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日期：     年     月   日    </w:t>
      </w:r>
    </w:p>
    <w:p>
      <w:pPr>
        <w:autoSpaceDE w:val="0"/>
        <w:autoSpaceDN w:val="0"/>
        <w:adjustRightInd w:val="0"/>
        <w:spacing w:line="440" w:lineRule="exact"/>
        <w:jc w:val="center"/>
        <w:rPr>
          <w:rFonts w:ascii="宋体" w:hAnsi="宋体"/>
          <w:color w:val="auto"/>
          <w:sz w:val="24"/>
          <w:highlight w:val="none"/>
          <w:lang w:val="zh-CN"/>
        </w:rPr>
      </w:pPr>
    </w:p>
    <w:p>
      <w:pPr>
        <w:autoSpaceDE w:val="0"/>
        <w:autoSpaceDN w:val="0"/>
        <w:adjustRightInd w:val="0"/>
        <w:spacing w:line="440" w:lineRule="exact"/>
        <w:jc w:val="center"/>
        <w:rPr>
          <w:rFonts w:ascii="宋体" w:hAnsi="宋体"/>
          <w:b/>
          <w:color w:val="auto"/>
          <w:sz w:val="30"/>
          <w:szCs w:val="30"/>
          <w:highlight w:val="none"/>
        </w:rPr>
      </w:pPr>
    </w:p>
    <w:p>
      <w:pPr>
        <w:autoSpaceDE w:val="0"/>
        <w:autoSpaceDN w:val="0"/>
        <w:adjustRightInd w:val="0"/>
        <w:spacing w:line="440" w:lineRule="exact"/>
        <w:jc w:val="center"/>
        <w:rPr>
          <w:rFonts w:ascii="宋体" w:hAnsi="宋体"/>
          <w:b/>
          <w:color w:val="auto"/>
          <w:sz w:val="30"/>
          <w:szCs w:val="30"/>
          <w:highlight w:val="none"/>
        </w:rPr>
      </w:pPr>
    </w:p>
    <w:p>
      <w:pPr>
        <w:autoSpaceDE w:val="0"/>
        <w:autoSpaceDN w:val="0"/>
        <w:adjustRightInd w:val="0"/>
        <w:spacing w:line="440" w:lineRule="exact"/>
        <w:jc w:val="center"/>
        <w:rPr>
          <w:rFonts w:ascii="宋体" w:hAnsi="宋体"/>
          <w:b/>
          <w:color w:val="auto"/>
          <w:sz w:val="30"/>
          <w:szCs w:val="30"/>
          <w:highlight w:val="none"/>
        </w:rPr>
      </w:pPr>
    </w:p>
    <w:p>
      <w:pPr>
        <w:autoSpaceDE w:val="0"/>
        <w:autoSpaceDN w:val="0"/>
        <w:adjustRightInd w:val="0"/>
        <w:spacing w:line="440" w:lineRule="exact"/>
        <w:jc w:val="center"/>
        <w:rPr>
          <w:rFonts w:ascii="宋体" w:hAnsi="宋体"/>
          <w:b/>
          <w:color w:val="auto"/>
          <w:sz w:val="30"/>
          <w:szCs w:val="30"/>
          <w:highlight w:val="none"/>
        </w:rPr>
      </w:pPr>
    </w:p>
    <w:p>
      <w:pPr>
        <w:autoSpaceDE w:val="0"/>
        <w:autoSpaceDN w:val="0"/>
        <w:adjustRightInd w:val="0"/>
        <w:spacing w:line="440" w:lineRule="exact"/>
        <w:jc w:val="center"/>
        <w:rPr>
          <w:rFonts w:ascii="宋体" w:hAnsi="宋体"/>
          <w:b/>
          <w:color w:val="auto"/>
          <w:sz w:val="30"/>
          <w:szCs w:val="30"/>
          <w:highlight w:val="none"/>
        </w:rPr>
      </w:pPr>
    </w:p>
    <w:p>
      <w:pPr>
        <w:autoSpaceDE w:val="0"/>
        <w:autoSpaceDN w:val="0"/>
        <w:adjustRightInd w:val="0"/>
        <w:spacing w:line="440" w:lineRule="exact"/>
        <w:jc w:val="center"/>
        <w:rPr>
          <w:rFonts w:ascii="宋体" w:hAnsi="宋体"/>
          <w:b/>
          <w:color w:val="auto"/>
          <w:sz w:val="30"/>
          <w:szCs w:val="30"/>
          <w:highlight w:val="none"/>
        </w:rPr>
      </w:pPr>
    </w:p>
    <w:p>
      <w:pPr>
        <w:autoSpaceDE w:val="0"/>
        <w:autoSpaceDN w:val="0"/>
        <w:adjustRightInd w:val="0"/>
        <w:spacing w:line="440" w:lineRule="exact"/>
        <w:jc w:val="center"/>
        <w:rPr>
          <w:rFonts w:ascii="宋体" w:hAnsi="宋体"/>
          <w:b/>
          <w:color w:val="auto"/>
          <w:sz w:val="30"/>
          <w:szCs w:val="30"/>
          <w:highlight w:val="none"/>
        </w:rPr>
      </w:pPr>
    </w:p>
    <w:p>
      <w:pPr>
        <w:autoSpaceDE w:val="0"/>
        <w:autoSpaceDN w:val="0"/>
        <w:adjustRightInd w:val="0"/>
        <w:spacing w:line="440" w:lineRule="exact"/>
        <w:jc w:val="center"/>
        <w:rPr>
          <w:rFonts w:ascii="宋体" w:hAnsi="宋体"/>
          <w:b/>
          <w:color w:val="auto"/>
          <w:sz w:val="30"/>
          <w:szCs w:val="30"/>
          <w:highlight w:val="none"/>
        </w:rPr>
      </w:pPr>
    </w:p>
    <w:p>
      <w:pPr>
        <w:autoSpaceDE w:val="0"/>
        <w:autoSpaceDN w:val="0"/>
        <w:adjustRightInd w:val="0"/>
        <w:spacing w:line="440" w:lineRule="exact"/>
        <w:jc w:val="center"/>
        <w:rPr>
          <w:rFonts w:ascii="宋体" w:hAnsi="宋体"/>
          <w:b/>
          <w:color w:val="auto"/>
          <w:sz w:val="30"/>
          <w:szCs w:val="30"/>
          <w:highlight w:val="none"/>
        </w:rPr>
      </w:pPr>
    </w:p>
    <w:p>
      <w:pPr>
        <w:autoSpaceDE w:val="0"/>
        <w:autoSpaceDN w:val="0"/>
        <w:adjustRightInd w:val="0"/>
        <w:spacing w:line="440" w:lineRule="exact"/>
        <w:jc w:val="center"/>
        <w:rPr>
          <w:rFonts w:ascii="宋体" w:hAnsi="宋体"/>
          <w:b/>
          <w:color w:val="auto"/>
          <w:sz w:val="30"/>
          <w:szCs w:val="30"/>
          <w:highlight w:val="none"/>
        </w:rPr>
      </w:pPr>
    </w:p>
    <w:p>
      <w:pPr>
        <w:autoSpaceDE w:val="0"/>
        <w:autoSpaceDN w:val="0"/>
        <w:adjustRightInd w:val="0"/>
        <w:spacing w:line="440" w:lineRule="exact"/>
        <w:jc w:val="center"/>
        <w:rPr>
          <w:rFonts w:ascii="宋体" w:hAnsi="宋体"/>
          <w:b/>
          <w:color w:val="auto"/>
          <w:sz w:val="30"/>
          <w:szCs w:val="30"/>
          <w:highlight w:val="none"/>
        </w:rPr>
      </w:pPr>
    </w:p>
    <w:p>
      <w:pPr>
        <w:autoSpaceDE w:val="0"/>
        <w:autoSpaceDN w:val="0"/>
        <w:adjustRightInd w:val="0"/>
        <w:spacing w:line="440" w:lineRule="exact"/>
        <w:jc w:val="center"/>
        <w:rPr>
          <w:rFonts w:ascii="宋体" w:hAnsi="宋体"/>
          <w:b/>
          <w:color w:val="auto"/>
          <w:sz w:val="30"/>
          <w:szCs w:val="30"/>
          <w:highlight w:val="none"/>
        </w:rPr>
      </w:pPr>
    </w:p>
    <w:p>
      <w:pPr>
        <w:autoSpaceDE w:val="0"/>
        <w:autoSpaceDN w:val="0"/>
        <w:adjustRightInd w:val="0"/>
        <w:spacing w:line="440" w:lineRule="exact"/>
        <w:jc w:val="center"/>
        <w:rPr>
          <w:rFonts w:ascii="宋体" w:hAnsi="宋体"/>
          <w:b/>
          <w:color w:val="auto"/>
          <w:sz w:val="30"/>
          <w:szCs w:val="30"/>
          <w:highlight w:val="none"/>
        </w:rPr>
      </w:pPr>
    </w:p>
    <w:p>
      <w:pPr>
        <w:autoSpaceDE w:val="0"/>
        <w:autoSpaceDN w:val="0"/>
        <w:adjustRightInd w:val="0"/>
        <w:spacing w:line="440" w:lineRule="exact"/>
        <w:jc w:val="center"/>
        <w:rPr>
          <w:rFonts w:ascii="宋体" w:hAnsi="宋体"/>
          <w:b/>
          <w:color w:val="auto"/>
          <w:sz w:val="30"/>
          <w:szCs w:val="30"/>
          <w:highlight w:val="none"/>
        </w:rPr>
      </w:pPr>
    </w:p>
    <w:p>
      <w:pPr>
        <w:autoSpaceDE w:val="0"/>
        <w:autoSpaceDN w:val="0"/>
        <w:adjustRightInd w:val="0"/>
        <w:spacing w:line="440" w:lineRule="exact"/>
        <w:jc w:val="center"/>
        <w:rPr>
          <w:rFonts w:ascii="宋体" w:hAnsi="宋体"/>
          <w:b/>
          <w:color w:val="auto"/>
          <w:sz w:val="30"/>
          <w:szCs w:val="30"/>
          <w:highlight w:val="none"/>
        </w:rPr>
      </w:pPr>
      <w:r>
        <w:rPr>
          <w:rFonts w:hint="eastAsia" w:ascii="宋体" w:hAnsi="宋体"/>
          <w:b/>
          <w:color w:val="auto"/>
          <w:sz w:val="30"/>
          <w:szCs w:val="30"/>
          <w:highlight w:val="none"/>
        </w:rPr>
        <w:t>十</w:t>
      </w:r>
      <w:r>
        <w:rPr>
          <w:rFonts w:hint="eastAsia" w:ascii="宋体" w:hAnsi="宋体"/>
          <w:b/>
          <w:color w:val="auto"/>
          <w:sz w:val="30"/>
          <w:szCs w:val="30"/>
          <w:highlight w:val="none"/>
          <w:lang w:eastAsia="zh-CN"/>
        </w:rPr>
        <w:t>一</w:t>
      </w:r>
      <w:r>
        <w:rPr>
          <w:rFonts w:hint="eastAsia" w:ascii="宋体" w:hAnsi="宋体"/>
          <w:b/>
          <w:color w:val="auto"/>
          <w:sz w:val="30"/>
          <w:szCs w:val="30"/>
          <w:highlight w:val="none"/>
        </w:rPr>
        <w:t>、响应文件外层包装封面（格式供参考）</w:t>
      </w:r>
    </w:p>
    <w:p>
      <w:pPr>
        <w:jc w:val="center"/>
        <w:rPr>
          <w:rFonts w:ascii="宋体" w:hAnsi="宋体"/>
          <w:color w:val="auto"/>
          <w:sz w:val="30"/>
          <w:szCs w:val="30"/>
          <w:highlight w:val="none"/>
        </w:rPr>
      </w:pPr>
    </w:p>
    <w:p>
      <w:pPr>
        <w:jc w:val="center"/>
        <w:rPr>
          <w:rFonts w:ascii="宋体" w:hAnsi="宋体"/>
          <w:b/>
          <w:color w:val="auto"/>
          <w:sz w:val="30"/>
          <w:szCs w:val="30"/>
          <w:highlight w:val="none"/>
        </w:rPr>
      </w:pPr>
      <w:r>
        <w:rPr>
          <w:rFonts w:hint="eastAsia" w:ascii="宋体" w:hAnsi="宋体"/>
          <w:b/>
          <w:color w:val="auto"/>
          <w:sz w:val="30"/>
          <w:szCs w:val="30"/>
          <w:highlight w:val="none"/>
        </w:rPr>
        <w:t>响应文件</w:t>
      </w:r>
      <w:bookmarkStart w:id="34" w:name="_Toc297472066"/>
    </w:p>
    <w:p>
      <w:pPr>
        <w:jc w:val="center"/>
        <w:rPr>
          <w:rFonts w:ascii="宋体" w:hAnsi="宋体"/>
          <w:b/>
          <w:color w:val="auto"/>
          <w:sz w:val="30"/>
          <w:szCs w:val="30"/>
          <w:highlight w:val="none"/>
        </w:rPr>
      </w:pPr>
      <w:r>
        <w:rPr>
          <w:rFonts w:hint="eastAsia" w:ascii="宋体" w:hAnsi="宋体"/>
          <w:b/>
          <w:color w:val="auto"/>
          <w:sz w:val="30"/>
          <w:szCs w:val="30"/>
          <w:highlight w:val="none"/>
        </w:rPr>
        <w:t xml:space="preserve"> (开标时启封)</w:t>
      </w:r>
      <w:bookmarkEnd w:id="34"/>
    </w:p>
    <w:p>
      <w:pPr>
        <w:rPr>
          <w:rFonts w:ascii="宋体" w:hAnsi="宋体"/>
          <w:b/>
          <w:color w:val="auto"/>
          <w:sz w:val="30"/>
          <w:szCs w:val="30"/>
          <w:highlight w:val="none"/>
        </w:rPr>
      </w:pPr>
      <w:r>
        <w:rPr>
          <w:rFonts w:hint="eastAsia" w:ascii="宋体" w:hAnsi="宋体"/>
          <w:b/>
          <w:color w:val="auto"/>
          <w:sz w:val="30"/>
          <w:szCs w:val="30"/>
          <w:highlight w:val="none"/>
        </w:rPr>
        <w:t>项目名称：</w:t>
      </w:r>
      <w:r>
        <w:rPr>
          <w:rFonts w:hint="eastAsia" w:ascii="宋体" w:hAnsi="宋体"/>
          <w:b/>
          <w:color w:val="auto"/>
          <w:sz w:val="30"/>
          <w:szCs w:val="30"/>
          <w:highlight w:val="none"/>
          <w:u w:val="single"/>
        </w:rPr>
        <w:t xml:space="preserve">                                    </w:t>
      </w:r>
    </w:p>
    <w:p>
      <w:pPr>
        <w:rPr>
          <w:rFonts w:ascii="宋体" w:hAnsi="宋体"/>
          <w:b/>
          <w:color w:val="auto"/>
          <w:sz w:val="30"/>
          <w:szCs w:val="30"/>
          <w:highlight w:val="none"/>
        </w:rPr>
      </w:pPr>
      <w:r>
        <w:rPr>
          <w:rFonts w:hint="eastAsia" w:ascii="宋体" w:hAnsi="宋体"/>
          <w:b/>
          <w:color w:val="auto"/>
          <w:sz w:val="30"/>
          <w:szCs w:val="30"/>
          <w:highlight w:val="none"/>
        </w:rPr>
        <w:t>项目编号：</w:t>
      </w:r>
      <w:r>
        <w:rPr>
          <w:rFonts w:hint="eastAsia" w:ascii="宋体" w:hAnsi="宋体"/>
          <w:b/>
          <w:color w:val="auto"/>
          <w:sz w:val="30"/>
          <w:szCs w:val="30"/>
          <w:highlight w:val="none"/>
          <w:u w:val="single"/>
        </w:rPr>
        <w:t xml:space="preserve">                                    </w:t>
      </w:r>
    </w:p>
    <w:p>
      <w:pPr>
        <w:rPr>
          <w:rFonts w:ascii="宋体" w:hAnsi="宋体"/>
          <w:b/>
          <w:color w:val="auto"/>
          <w:sz w:val="30"/>
          <w:szCs w:val="30"/>
          <w:highlight w:val="none"/>
        </w:rPr>
      </w:pPr>
      <w:r>
        <w:rPr>
          <w:rFonts w:hint="eastAsia" w:ascii="宋体" w:hAnsi="宋体"/>
          <w:b/>
          <w:color w:val="auto"/>
          <w:sz w:val="30"/>
          <w:szCs w:val="30"/>
          <w:highlight w:val="none"/>
        </w:rPr>
        <w:t>谈判响应方名称（盖章）：</w:t>
      </w:r>
      <w:r>
        <w:rPr>
          <w:rFonts w:hint="eastAsia" w:ascii="宋体" w:hAnsi="宋体"/>
          <w:b/>
          <w:color w:val="auto"/>
          <w:sz w:val="30"/>
          <w:szCs w:val="30"/>
          <w:highlight w:val="none"/>
          <w:u w:val="single"/>
        </w:rPr>
        <w:t xml:space="preserve">                       </w:t>
      </w:r>
    </w:p>
    <w:p>
      <w:pPr>
        <w:rPr>
          <w:rFonts w:ascii="宋体" w:hAnsi="宋体"/>
          <w:b/>
          <w:color w:val="auto"/>
          <w:sz w:val="30"/>
          <w:szCs w:val="30"/>
          <w:highlight w:val="none"/>
        </w:rPr>
      </w:pPr>
      <w:r>
        <w:rPr>
          <w:rFonts w:hint="eastAsia" w:ascii="宋体" w:hAnsi="宋体"/>
          <w:b/>
          <w:color w:val="auto"/>
          <w:sz w:val="30"/>
          <w:szCs w:val="30"/>
          <w:highlight w:val="none"/>
        </w:rPr>
        <w:t xml:space="preserve">     </w:t>
      </w:r>
    </w:p>
    <w:p>
      <w:pPr>
        <w:rPr>
          <w:rFonts w:ascii="宋体" w:hAnsi="宋体"/>
          <w:b/>
          <w:color w:val="auto"/>
          <w:sz w:val="30"/>
          <w:szCs w:val="30"/>
          <w:highlight w:val="none"/>
        </w:rPr>
      </w:pPr>
      <w:r>
        <w:rPr>
          <w:rFonts w:hint="eastAsia" w:ascii="宋体" w:hAnsi="宋体"/>
          <w:b/>
          <w:color w:val="auto"/>
          <w:sz w:val="30"/>
          <w:szCs w:val="30"/>
          <w:highlight w:val="none"/>
        </w:rPr>
        <w:t>在    年    月     日     时     分之前不得启封</w:t>
      </w:r>
    </w:p>
    <w:p>
      <w:pPr>
        <w:rPr>
          <w:rFonts w:ascii="宋体" w:hAnsi="宋体"/>
          <w:color w:val="auto"/>
          <w:sz w:val="30"/>
          <w:szCs w:val="30"/>
          <w:highlight w:val="none"/>
        </w:rPr>
      </w:pPr>
      <w:bookmarkStart w:id="35" w:name="_Toc297472067"/>
    </w:p>
    <w:p>
      <w:pPr>
        <w:rPr>
          <w:rFonts w:ascii="宋体" w:hAnsi="宋体"/>
          <w:color w:val="auto"/>
          <w:sz w:val="30"/>
          <w:szCs w:val="30"/>
          <w:highlight w:val="none"/>
        </w:rPr>
      </w:pPr>
    </w:p>
    <w:bookmarkEnd w:id="35"/>
    <w:p>
      <w:pPr>
        <w:autoSpaceDE w:val="0"/>
        <w:autoSpaceDN w:val="0"/>
        <w:adjustRightInd w:val="0"/>
        <w:spacing w:line="460" w:lineRule="exact"/>
        <w:jc w:val="center"/>
        <w:rPr>
          <w:rFonts w:ascii="宋体" w:hAnsi="宋体"/>
          <w:b/>
          <w:color w:val="auto"/>
          <w:sz w:val="32"/>
          <w:szCs w:val="32"/>
          <w:highlight w:val="none"/>
        </w:rPr>
      </w:pPr>
    </w:p>
    <w:p>
      <w:pPr>
        <w:autoSpaceDE w:val="0"/>
        <w:autoSpaceDN w:val="0"/>
        <w:adjustRightInd w:val="0"/>
        <w:spacing w:line="360" w:lineRule="auto"/>
        <w:jc w:val="center"/>
        <w:rPr>
          <w:rFonts w:ascii="宋体" w:hAnsi="宋体"/>
          <w:b/>
          <w:color w:val="auto"/>
          <w:sz w:val="32"/>
          <w:szCs w:val="32"/>
          <w:highlight w:val="none"/>
        </w:rPr>
      </w:pPr>
      <w:r>
        <w:rPr>
          <w:rFonts w:hint="eastAsia" w:ascii="宋体" w:hAnsi="宋体"/>
          <w:b/>
          <w:color w:val="auto"/>
          <w:sz w:val="32"/>
          <w:szCs w:val="32"/>
          <w:highlight w:val="none"/>
        </w:rPr>
        <w:t>十</w:t>
      </w:r>
      <w:r>
        <w:rPr>
          <w:rFonts w:hint="eastAsia" w:ascii="宋体" w:hAnsi="宋体"/>
          <w:b/>
          <w:color w:val="auto"/>
          <w:sz w:val="32"/>
          <w:szCs w:val="32"/>
          <w:highlight w:val="none"/>
          <w:lang w:eastAsia="zh-CN"/>
        </w:rPr>
        <w:t>二</w:t>
      </w:r>
      <w:r>
        <w:rPr>
          <w:rFonts w:hint="eastAsia" w:ascii="宋体" w:hAnsi="宋体"/>
          <w:b/>
          <w:color w:val="auto"/>
          <w:sz w:val="32"/>
          <w:szCs w:val="32"/>
          <w:highlight w:val="none"/>
        </w:rPr>
        <w:t>、响应文件封面（格式供参考）</w:t>
      </w:r>
    </w:p>
    <w:p>
      <w:pPr>
        <w:autoSpaceDE w:val="0"/>
        <w:autoSpaceDN w:val="0"/>
        <w:adjustRightInd w:val="0"/>
        <w:spacing w:line="360" w:lineRule="auto"/>
        <w:jc w:val="right"/>
        <w:rPr>
          <w:rFonts w:ascii="宋体" w:hAnsi="宋体"/>
          <w:b/>
          <w:color w:val="auto"/>
          <w:sz w:val="32"/>
          <w:szCs w:val="32"/>
          <w:highlight w:val="none"/>
        </w:rPr>
      </w:pPr>
    </w:p>
    <w:p>
      <w:pPr>
        <w:autoSpaceDE w:val="0"/>
        <w:autoSpaceDN w:val="0"/>
        <w:adjustRightInd w:val="0"/>
        <w:spacing w:line="360" w:lineRule="auto"/>
        <w:jc w:val="right"/>
        <w:rPr>
          <w:rFonts w:ascii="宋体" w:hAnsi="宋体"/>
          <w:b/>
          <w:color w:val="auto"/>
          <w:sz w:val="28"/>
          <w:szCs w:val="28"/>
          <w:highlight w:val="none"/>
        </w:rPr>
      </w:pPr>
      <w:r>
        <w:rPr>
          <w:rFonts w:hint="eastAsia" w:ascii="宋体" w:hAnsi="宋体"/>
          <w:b/>
          <w:color w:val="auto"/>
          <w:sz w:val="32"/>
          <w:szCs w:val="32"/>
          <w:highlight w:val="none"/>
        </w:rPr>
        <w:t xml:space="preserve">                </w:t>
      </w:r>
      <w:r>
        <w:rPr>
          <w:rFonts w:hint="eastAsia" w:ascii="宋体" w:hAnsi="宋体"/>
          <w:b/>
          <w:color w:val="auto"/>
          <w:sz w:val="28"/>
          <w:szCs w:val="28"/>
          <w:highlight w:val="none"/>
        </w:rPr>
        <w:t>正本/副本</w:t>
      </w:r>
    </w:p>
    <w:p>
      <w:pPr>
        <w:autoSpaceDE w:val="0"/>
        <w:autoSpaceDN w:val="0"/>
        <w:adjustRightInd w:val="0"/>
        <w:spacing w:line="360" w:lineRule="auto"/>
        <w:ind w:firstLine="4160" w:firstLineChars="1295"/>
        <w:rPr>
          <w:rFonts w:ascii="宋体" w:hAnsi="宋体"/>
          <w:b/>
          <w:color w:val="auto"/>
          <w:sz w:val="32"/>
          <w:szCs w:val="32"/>
          <w:highlight w:val="none"/>
        </w:rPr>
      </w:pPr>
      <w:r>
        <w:rPr>
          <w:rFonts w:hint="eastAsia" w:ascii="宋体" w:hAnsi="宋体"/>
          <w:b/>
          <w:color w:val="auto"/>
          <w:sz w:val="32"/>
          <w:szCs w:val="32"/>
          <w:highlight w:val="none"/>
        </w:rPr>
        <w:t>响应文件</w:t>
      </w:r>
    </w:p>
    <w:p>
      <w:pPr>
        <w:autoSpaceDE w:val="0"/>
        <w:autoSpaceDN w:val="0"/>
        <w:adjustRightInd w:val="0"/>
        <w:spacing w:line="360" w:lineRule="auto"/>
        <w:rPr>
          <w:rFonts w:ascii="宋体" w:hAnsi="宋体"/>
          <w:b/>
          <w:color w:val="auto"/>
          <w:sz w:val="32"/>
          <w:szCs w:val="32"/>
          <w:highlight w:val="none"/>
        </w:rPr>
      </w:pPr>
      <w:r>
        <w:rPr>
          <w:rFonts w:hint="eastAsia" w:ascii="宋体" w:hAnsi="宋体"/>
          <w:b/>
          <w:color w:val="auto"/>
          <w:sz w:val="32"/>
          <w:szCs w:val="32"/>
          <w:highlight w:val="none"/>
        </w:rPr>
        <w:t>项目名称：</w:t>
      </w:r>
      <w:r>
        <w:rPr>
          <w:rFonts w:hint="eastAsia" w:ascii="宋体" w:hAnsi="宋体"/>
          <w:b/>
          <w:color w:val="auto"/>
          <w:sz w:val="32"/>
          <w:szCs w:val="32"/>
          <w:highlight w:val="none"/>
          <w:u w:val="single"/>
        </w:rPr>
        <w:t xml:space="preserve">                                    </w:t>
      </w:r>
    </w:p>
    <w:p>
      <w:pPr>
        <w:autoSpaceDE w:val="0"/>
        <w:autoSpaceDN w:val="0"/>
        <w:adjustRightInd w:val="0"/>
        <w:spacing w:line="360" w:lineRule="auto"/>
        <w:rPr>
          <w:rFonts w:ascii="宋体" w:hAnsi="宋体"/>
          <w:b/>
          <w:color w:val="auto"/>
          <w:sz w:val="32"/>
          <w:szCs w:val="32"/>
          <w:highlight w:val="none"/>
        </w:rPr>
      </w:pPr>
      <w:r>
        <w:rPr>
          <w:rFonts w:hint="eastAsia" w:ascii="宋体" w:hAnsi="宋体"/>
          <w:b/>
          <w:color w:val="auto"/>
          <w:sz w:val="32"/>
          <w:szCs w:val="32"/>
          <w:highlight w:val="none"/>
        </w:rPr>
        <w:t>项目编号：</w:t>
      </w:r>
      <w:r>
        <w:rPr>
          <w:rFonts w:hint="eastAsia" w:ascii="宋体" w:hAnsi="宋体"/>
          <w:b/>
          <w:color w:val="auto"/>
          <w:sz w:val="32"/>
          <w:szCs w:val="32"/>
          <w:highlight w:val="none"/>
          <w:u w:val="single"/>
        </w:rPr>
        <w:t xml:space="preserve">                                    </w:t>
      </w:r>
    </w:p>
    <w:p>
      <w:pPr>
        <w:autoSpaceDE w:val="0"/>
        <w:autoSpaceDN w:val="0"/>
        <w:adjustRightInd w:val="0"/>
        <w:spacing w:line="360" w:lineRule="auto"/>
        <w:rPr>
          <w:rFonts w:ascii="宋体" w:hAnsi="宋体"/>
          <w:b/>
          <w:color w:val="auto"/>
          <w:sz w:val="32"/>
          <w:szCs w:val="32"/>
          <w:highlight w:val="none"/>
        </w:rPr>
      </w:pPr>
      <w:r>
        <w:rPr>
          <w:rFonts w:hint="eastAsia" w:ascii="宋体" w:hAnsi="宋体"/>
          <w:b/>
          <w:color w:val="auto"/>
          <w:sz w:val="32"/>
          <w:szCs w:val="32"/>
          <w:highlight w:val="none"/>
        </w:rPr>
        <w:t>谈判响应方名称（盖章）：</w:t>
      </w:r>
      <w:r>
        <w:rPr>
          <w:rFonts w:hint="eastAsia" w:ascii="宋体" w:hAnsi="宋体"/>
          <w:b/>
          <w:color w:val="auto"/>
          <w:sz w:val="32"/>
          <w:szCs w:val="32"/>
          <w:highlight w:val="none"/>
          <w:u w:val="single"/>
        </w:rPr>
        <w:t xml:space="preserve">                       </w:t>
      </w:r>
      <w:bookmarkStart w:id="36" w:name="_Toc350409933"/>
      <w:bookmarkStart w:id="37" w:name="_Toc350410024"/>
    </w:p>
    <w:p>
      <w:pPr>
        <w:autoSpaceDE w:val="0"/>
        <w:autoSpaceDN w:val="0"/>
        <w:adjustRightInd w:val="0"/>
        <w:spacing w:line="360" w:lineRule="auto"/>
        <w:rPr>
          <w:rFonts w:ascii="宋体" w:hAnsi="宋体"/>
          <w:b/>
          <w:color w:val="auto"/>
          <w:sz w:val="32"/>
          <w:szCs w:val="32"/>
          <w:highlight w:val="none"/>
          <w:u w:val="single"/>
        </w:rPr>
      </w:pPr>
      <w:r>
        <w:rPr>
          <w:rFonts w:hint="eastAsia" w:ascii="宋体" w:hAnsi="宋体"/>
          <w:b/>
          <w:color w:val="auto"/>
          <w:sz w:val="32"/>
          <w:szCs w:val="32"/>
          <w:highlight w:val="none"/>
        </w:rPr>
        <w:t>法定代表人或授权代表签字：</w:t>
      </w:r>
      <w:bookmarkEnd w:id="36"/>
      <w:bookmarkEnd w:id="37"/>
      <w:r>
        <w:rPr>
          <w:rFonts w:hint="eastAsia" w:ascii="宋体" w:hAnsi="宋体"/>
          <w:b/>
          <w:color w:val="auto"/>
          <w:sz w:val="32"/>
          <w:szCs w:val="32"/>
          <w:highlight w:val="none"/>
          <w:u w:val="single"/>
        </w:rPr>
        <w:t xml:space="preserve">                    </w:t>
      </w:r>
    </w:p>
    <w:p>
      <w:pPr>
        <w:rPr>
          <w:rFonts w:ascii="宋体" w:hAnsi="宋体"/>
          <w:color w:val="auto"/>
          <w:szCs w:val="21"/>
          <w:highlight w:val="none"/>
        </w:rPr>
      </w:pPr>
    </w:p>
    <w:p>
      <w:pPr>
        <w:rPr>
          <w:color w:val="auto"/>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- 1 -</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35</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rap="around" w:vAnchor="text" w:hAnchor="margin" w:xAlign="center" w:y="1"/>
      <w:rPr>
        <w:rStyle w:val="27"/>
      </w:rPr>
    </w:pPr>
    <w:r>
      <w:fldChar w:fldCharType="begin"/>
    </w:r>
    <w:r>
      <w:rPr>
        <w:rStyle w:val="27"/>
      </w:rPr>
      <w:instrText xml:space="preserve">PAGE  </w:instrTex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- 31 -</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35</w:t>
    </w:r>
    <w:r>
      <w:rPr>
        <w:kern w:val="0"/>
        <w:szCs w:val="21"/>
      </w:rPr>
      <w:fldChar w:fldCharType="end"/>
    </w:r>
    <w:r>
      <w:rPr>
        <w:rFonts w:hint="eastAsia"/>
        <w:kern w:val="0"/>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rap="around" w:vAnchor="text" w:hAnchor="margin" w:xAlign="center" w:y="1"/>
      <w:rPr>
        <w:rStyle w:val="27"/>
      </w:rPr>
    </w:pPr>
    <w:r>
      <w:fldChar w:fldCharType="begin"/>
    </w:r>
    <w:r>
      <w:rPr>
        <w:rStyle w:val="27"/>
      </w:rPr>
      <w:instrText xml:space="preserve">PAGE  </w:instrText>
    </w:r>
    <w:r>
      <w:fldChar w:fldCharType="separate"/>
    </w:r>
    <w:r>
      <w:rPr>
        <w:rStyle w:val="27"/>
      </w:rPr>
      <w:t>- 14 -</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pBdr>
        <w:bottom w:val="none" w:color="auto" w:sz="0" w:space="0"/>
      </w:pBdr>
      <w:jc w:val="right"/>
    </w:pPr>
    <w:r>
      <w:rPr>
        <w:rFonts w:hint="eastAsia"/>
        <w:i/>
        <w:iCs/>
      </w:rPr>
      <w:t>余杭区政府采购竞争性谈判采购文件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framePr w:wrap="around" w:vAnchor="text" w:hAnchor="margin" w:xAlign="center" w:y="1"/>
      <w:rPr>
        <w:rStyle w:val="27"/>
      </w:rPr>
    </w:pPr>
    <w:r>
      <w:fldChar w:fldCharType="begin"/>
    </w:r>
    <w:r>
      <w:rPr>
        <w:rStyle w:val="27"/>
      </w:rPr>
      <w:instrText xml:space="preserve">PAGE  </w:instrText>
    </w:r>
    <w:r>
      <w:fldChar w:fldCharType="end"/>
    </w:r>
  </w:p>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framePr w:wrap="around" w:vAnchor="text" w:hAnchor="margin" w:xAlign="center" w:y="1"/>
      <w:rPr>
        <w:rStyle w:val="27"/>
      </w:rPr>
    </w:pPr>
    <w:r>
      <w:fldChar w:fldCharType="begin"/>
    </w:r>
    <w:r>
      <w:rPr>
        <w:rStyle w:val="27"/>
      </w:rPr>
      <w:instrText xml:space="preserve">PAGE  </w:instrText>
    </w:r>
    <w:r>
      <w:fldChar w:fldCharType="separate"/>
    </w:r>
    <w:r>
      <w:rPr>
        <w:rStyle w:val="27"/>
      </w:rPr>
      <w:t>- 14 -</w:t>
    </w:r>
    <w:r>
      <w:fldChar w:fldCharType="end"/>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0900579">
    <w:nsid w:val="5A0E8363"/>
    <w:multiLevelType w:val="singleLevel"/>
    <w:tmpl w:val="5A0E8363"/>
    <w:lvl w:ilvl="0" w:tentative="1">
      <w:start w:val="7"/>
      <w:numFmt w:val="chineseCounting"/>
      <w:suff w:val="nothing"/>
      <w:lvlText w:val="%1、"/>
      <w:lvlJc w:val="left"/>
    </w:lvl>
  </w:abstractNum>
  <w:abstractNum w:abstractNumId="973145474">
    <w:nsid w:val="3A010582"/>
    <w:multiLevelType w:val="multilevel"/>
    <w:tmpl w:val="3A010582"/>
    <w:lvl w:ilvl="0" w:tentative="1">
      <w:start w:val="1"/>
      <w:numFmt w:val="decimal"/>
      <w:lvlText w:val="%1、"/>
      <w:lvlJc w:val="left"/>
      <w:pPr>
        <w:ind w:left="840" w:hanging="420"/>
      </w:pPr>
      <w:rPr>
        <w:rFonts w:ascii="Cambria" w:hAnsi="Cambria" w:eastAsia="微软雅黑" w:cs="Times New Roman"/>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87180722">
    <w:nsid w:val="34E14DB2"/>
    <w:multiLevelType w:val="multilevel"/>
    <w:tmpl w:val="34E14DB2"/>
    <w:lvl w:ilvl="0" w:tentative="1">
      <w:start w:val="2"/>
      <w:numFmt w:val="chineseCounting"/>
      <w:suff w:val="nothing"/>
      <w:lvlText w:val="第%1条"/>
      <w:lvlJc w:val="left"/>
      <w:pPr>
        <w:ind w:left="0" w:firstLine="0"/>
      </w:pPr>
      <w:rPr>
        <w:rFonts w:hint="default" w:ascii="Times New Roman" w:hAnsi="Times New Roman" w:cs="Times New Roman"/>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51676316">
    <w:nsid w:val="5C7CB39C"/>
    <w:multiLevelType w:val="singleLevel"/>
    <w:tmpl w:val="5C7CB39C"/>
    <w:lvl w:ilvl="0" w:tentative="1">
      <w:start w:val="1"/>
      <w:numFmt w:val="decimal"/>
      <w:suff w:val="nothing"/>
      <w:lvlText w:val="（%1）"/>
      <w:lvlJc w:val="left"/>
    </w:lvl>
  </w:abstractNum>
  <w:abstractNum w:abstractNumId="1834488658">
    <w:nsid w:val="6D581352"/>
    <w:multiLevelType w:val="multilevel"/>
    <w:tmpl w:val="6D581352"/>
    <w:lvl w:ilvl="0" w:tentative="1">
      <w:start w:val="2"/>
      <w:numFmt w:val="japaneseCounting"/>
      <w:lvlText w:val="第%1节"/>
      <w:lvlJc w:val="left"/>
      <w:pPr>
        <w:tabs>
          <w:tab w:val="left" w:pos="1202"/>
        </w:tabs>
        <w:ind w:left="1202" w:hanging="720"/>
      </w:pPr>
      <w:rPr>
        <w:rFonts w:hint="default"/>
      </w:rPr>
    </w:lvl>
    <w:lvl w:ilvl="1" w:tentative="1">
      <w:start w:val="1"/>
      <w:numFmt w:val="lowerLetter"/>
      <w:lvlText w:val="%2)"/>
      <w:lvlJc w:val="left"/>
      <w:pPr>
        <w:tabs>
          <w:tab w:val="left" w:pos="1322"/>
        </w:tabs>
        <w:ind w:left="1322" w:hanging="420"/>
      </w:pPr>
    </w:lvl>
    <w:lvl w:ilvl="2" w:tentative="1">
      <w:start w:val="1"/>
      <w:numFmt w:val="lowerRoman"/>
      <w:lvlText w:val="%3."/>
      <w:lvlJc w:val="right"/>
      <w:pPr>
        <w:tabs>
          <w:tab w:val="left" w:pos="1742"/>
        </w:tabs>
        <w:ind w:left="1742" w:hanging="420"/>
      </w:pPr>
    </w:lvl>
    <w:lvl w:ilvl="3" w:tentative="1">
      <w:start w:val="1"/>
      <w:numFmt w:val="decimal"/>
      <w:lvlText w:val="%4."/>
      <w:lvlJc w:val="left"/>
      <w:pPr>
        <w:tabs>
          <w:tab w:val="left" w:pos="2162"/>
        </w:tabs>
        <w:ind w:left="2162" w:hanging="420"/>
      </w:pPr>
    </w:lvl>
    <w:lvl w:ilvl="4" w:tentative="1">
      <w:start w:val="1"/>
      <w:numFmt w:val="lowerLetter"/>
      <w:lvlText w:val="%5)"/>
      <w:lvlJc w:val="left"/>
      <w:pPr>
        <w:tabs>
          <w:tab w:val="left" w:pos="2582"/>
        </w:tabs>
        <w:ind w:left="2582" w:hanging="420"/>
      </w:pPr>
    </w:lvl>
    <w:lvl w:ilvl="5" w:tentative="1">
      <w:start w:val="1"/>
      <w:numFmt w:val="lowerRoman"/>
      <w:lvlText w:val="%6."/>
      <w:lvlJc w:val="right"/>
      <w:pPr>
        <w:tabs>
          <w:tab w:val="left" w:pos="3002"/>
        </w:tabs>
        <w:ind w:left="3002" w:hanging="420"/>
      </w:pPr>
    </w:lvl>
    <w:lvl w:ilvl="6" w:tentative="1">
      <w:start w:val="1"/>
      <w:numFmt w:val="decimal"/>
      <w:lvlText w:val="%7."/>
      <w:lvlJc w:val="left"/>
      <w:pPr>
        <w:tabs>
          <w:tab w:val="left" w:pos="3422"/>
        </w:tabs>
        <w:ind w:left="3422" w:hanging="420"/>
      </w:pPr>
    </w:lvl>
    <w:lvl w:ilvl="7" w:tentative="1">
      <w:start w:val="1"/>
      <w:numFmt w:val="lowerLetter"/>
      <w:lvlText w:val="%8)"/>
      <w:lvlJc w:val="left"/>
      <w:pPr>
        <w:tabs>
          <w:tab w:val="left" w:pos="3842"/>
        </w:tabs>
        <w:ind w:left="3842" w:hanging="420"/>
      </w:pPr>
    </w:lvl>
    <w:lvl w:ilvl="8" w:tentative="1">
      <w:start w:val="1"/>
      <w:numFmt w:val="lowerRoman"/>
      <w:lvlText w:val="%9."/>
      <w:lvlJc w:val="right"/>
      <w:pPr>
        <w:tabs>
          <w:tab w:val="left" w:pos="4262"/>
        </w:tabs>
        <w:ind w:left="4262" w:hanging="420"/>
      </w:pPr>
    </w:lvl>
  </w:abstractNum>
  <w:num w:numId="1">
    <w:abstractNumId w:val="1510900579"/>
  </w:num>
  <w:num w:numId="2">
    <w:abstractNumId w:val="1551676316"/>
  </w:num>
  <w:num w:numId="3">
    <w:abstractNumId w:val="1834488658"/>
  </w:num>
  <w:num w:numId="4">
    <w:abstractNumId w:val="887180722"/>
    <w:lvlOverride w:ilvl="0">
      <w:startOverride w:val="2"/>
    </w:lvlOverride>
  </w:num>
  <w:num w:numId="5">
    <w:abstractNumId w:val="9731454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141C1"/>
    <w:rsid w:val="00090B2B"/>
    <w:rsid w:val="000C2316"/>
    <w:rsid w:val="000F4CB2"/>
    <w:rsid w:val="00121615"/>
    <w:rsid w:val="001B5D33"/>
    <w:rsid w:val="002160BD"/>
    <w:rsid w:val="002C7478"/>
    <w:rsid w:val="003035A3"/>
    <w:rsid w:val="00340991"/>
    <w:rsid w:val="003D180D"/>
    <w:rsid w:val="004A2DFA"/>
    <w:rsid w:val="005F0FB2"/>
    <w:rsid w:val="006811ED"/>
    <w:rsid w:val="00696413"/>
    <w:rsid w:val="006C5711"/>
    <w:rsid w:val="007E7509"/>
    <w:rsid w:val="007E7A9A"/>
    <w:rsid w:val="00881E0C"/>
    <w:rsid w:val="008C7794"/>
    <w:rsid w:val="009241D9"/>
    <w:rsid w:val="00930C97"/>
    <w:rsid w:val="00A37240"/>
    <w:rsid w:val="00A475DB"/>
    <w:rsid w:val="00A5040B"/>
    <w:rsid w:val="00A725DA"/>
    <w:rsid w:val="00B169DC"/>
    <w:rsid w:val="00B647F6"/>
    <w:rsid w:val="00B971D5"/>
    <w:rsid w:val="00BC5378"/>
    <w:rsid w:val="00C3766D"/>
    <w:rsid w:val="00D24303"/>
    <w:rsid w:val="00D30641"/>
    <w:rsid w:val="00D5749D"/>
    <w:rsid w:val="00DB4473"/>
    <w:rsid w:val="00DE3088"/>
    <w:rsid w:val="00E05F35"/>
    <w:rsid w:val="00E141C1"/>
    <w:rsid w:val="00E85984"/>
    <w:rsid w:val="00EA1212"/>
    <w:rsid w:val="00F10075"/>
    <w:rsid w:val="00F34950"/>
    <w:rsid w:val="013B4BF6"/>
    <w:rsid w:val="01557CF3"/>
    <w:rsid w:val="033A383C"/>
    <w:rsid w:val="04702398"/>
    <w:rsid w:val="062355FD"/>
    <w:rsid w:val="06640063"/>
    <w:rsid w:val="07700403"/>
    <w:rsid w:val="091372A4"/>
    <w:rsid w:val="0CEC61BA"/>
    <w:rsid w:val="0E786C5C"/>
    <w:rsid w:val="0F6A6F1A"/>
    <w:rsid w:val="0F96252A"/>
    <w:rsid w:val="10337AA3"/>
    <w:rsid w:val="11FD77F3"/>
    <w:rsid w:val="12F91FE9"/>
    <w:rsid w:val="17967340"/>
    <w:rsid w:val="21B9791F"/>
    <w:rsid w:val="23CE7647"/>
    <w:rsid w:val="253F6657"/>
    <w:rsid w:val="25C732C0"/>
    <w:rsid w:val="2773347C"/>
    <w:rsid w:val="27E0452F"/>
    <w:rsid w:val="27F64646"/>
    <w:rsid w:val="2A9C372B"/>
    <w:rsid w:val="2B682A93"/>
    <w:rsid w:val="2C5D171A"/>
    <w:rsid w:val="2EE810C8"/>
    <w:rsid w:val="32CD1340"/>
    <w:rsid w:val="333355A6"/>
    <w:rsid w:val="33E71F09"/>
    <w:rsid w:val="34442806"/>
    <w:rsid w:val="344562F4"/>
    <w:rsid w:val="363F7366"/>
    <w:rsid w:val="3B721E86"/>
    <w:rsid w:val="3BA8022B"/>
    <w:rsid w:val="3C6721EA"/>
    <w:rsid w:val="3D280B2B"/>
    <w:rsid w:val="3DDC39C9"/>
    <w:rsid w:val="3EEE0553"/>
    <w:rsid w:val="43FE1322"/>
    <w:rsid w:val="44C5794C"/>
    <w:rsid w:val="45EF5196"/>
    <w:rsid w:val="460A4EA1"/>
    <w:rsid w:val="468803DA"/>
    <w:rsid w:val="46B333A4"/>
    <w:rsid w:val="47D179DA"/>
    <w:rsid w:val="49F22A71"/>
    <w:rsid w:val="4A9E371C"/>
    <w:rsid w:val="4AF94052"/>
    <w:rsid w:val="52B7306D"/>
    <w:rsid w:val="52BE5550"/>
    <w:rsid w:val="53675362"/>
    <w:rsid w:val="53981B75"/>
    <w:rsid w:val="539E5796"/>
    <w:rsid w:val="5FD50FCB"/>
    <w:rsid w:val="603C3033"/>
    <w:rsid w:val="6980785F"/>
    <w:rsid w:val="6F7404A8"/>
    <w:rsid w:val="702076FF"/>
    <w:rsid w:val="708B5ED6"/>
    <w:rsid w:val="72075A47"/>
    <w:rsid w:val="75464768"/>
    <w:rsid w:val="78F00FCF"/>
    <w:rsid w:val="79023908"/>
    <w:rsid w:val="7AA77BCC"/>
    <w:rsid w:val="7BA346DE"/>
    <w:rsid w:val="7CD9344F"/>
    <w:rsid w:val="7CF32A01"/>
    <w:rsid w:val="7E816975"/>
    <w:rsid w:val="7FDF769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5"/>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56"/>
    <w:qFormat/>
    <w:uiPriority w:val="0"/>
    <w:pPr>
      <w:keepNext/>
      <w:keepLines/>
      <w:spacing w:before="260" w:after="260" w:line="413" w:lineRule="auto"/>
      <w:outlineLvl w:val="1"/>
    </w:pPr>
    <w:rPr>
      <w:rFonts w:ascii="Cambria" w:hAnsi="Cambria"/>
      <w:b/>
      <w:bCs/>
      <w:sz w:val="32"/>
      <w:szCs w:val="32"/>
    </w:rPr>
  </w:style>
  <w:style w:type="character" w:default="1" w:styleId="25">
    <w:name w:val="Default Paragraph Font"/>
    <w:unhideWhenUsed/>
    <w:qFormat/>
    <w:uiPriority w:val="1"/>
  </w:style>
  <w:style w:type="table" w:default="1" w:styleId="31">
    <w:name w:val="Normal Table"/>
    <w:unhideWhenUsed/>
    <w:qFormat/>
    <w:uiPriority w:val="99"/>
    <w:tblPr>
      <w:tblStyle w:val="31"/>
      <w:tblLayout w:type="fixed"/>
      <w:tblCellMar>
        <w:top w:w="0" w:type="dxa"/>
        <w:left w:w="108" w:type="dxa"/>
        <w:bottom w:w="0" w:type="dxa"/>
        <w:right w:w="108" w:type="dxa"/>
      </w:tblCellMar>
    </w:tblPr>
    <w:tcPr>
      <w:textDirection w:val="lrTb"/>
    </w:tcPr>
  </w:style>
  <w:style w:type="paragraph" w:styleId="4">
    <w:name w:val="annotation subject"/>
    <w:basedOn w:val="5"/>
    <w:next w:val="5"/>
    <w:link w:val="79"/>
    <w:semiHidden/>
    <w:qFormat/>
    <w:uiPriority w:val="0"/>
    <w:rPr>
      <w:b/>
      <w:bCs/>
    </w:rPr>
  </w:style>
  <w:style w:type="paragraph" w:styleId="5">
    <w:name w:val="annotation text"/>
    <w:basedOn w:val="1"/>
    <w:link w:val="78"/>
    <w:unhideWhenUsed/>
    <w:qFormat/>
    <w:uiPriority w:val="0"/>
    <w:pPr>
      <w:jc w:val="left"/>
    </w:pPr>
  </w:style>
  <w:style w:type="paragraph" w:styleId="6">
    <w:name w:val="Normal Indent"/>
    <w:basedOn w:val="1"/>
    <w:qFormat/>
    <w:uiPriority w:val="0"/>
    <w:pPr>
      <w:ind w:firstLine="420"/>
    </w:pPr>
    <w:rPr>
      <w:szCs w:val="20"/>
    </w:rPr>
  </w:style>
  <w:style w:type="paragraph" w:styleId="7">
    <w:name w:val="Document Map"/>
    <w:basedOn w:val="1"/>
    <w:link w:val="86"/>
    <w:unhideWhenUsed/>
    <w:qFormat/>
    <w:uiPriority w:val="99"/>
    <w:rPr>
      <w:rFonts w:ascii="宋体"/>
      <w:sz w:val="18"/>
      <w:szCs w:val="18"/>
    </w:rPr>
  </w:style>
  <w:style w:type="paragraph" w:styleId="8">
    <w:name w:val="Body Text 3"/>
    <w:basedOn w:val="1"/>
    <w:link w:val="72"/>
    <w:qFormat/>
    <w:uiPriority w:val="0"/>
    <w:pPr>
      <w:spacing w:after="120"/>
    </w:pPr>
    <w:rPr>
      <w:rFonts w:ascii="Calibri" w:hAnsi="Calibri" w:eastAsia="宋体" w:cs="黑体"/>
      <w:sz w:val="16"/>
      <w:szCs w:val="16"/>
    </w:rPr>
  </w:style>
  <w:style w:type="paragraph" w:styleId="9">
    <w:name w:val="Body Text"/>
    <w:basedOn w:val="1"/>
    <w:link w:val="80"/>
    <w:qFormat/>
    <w:uiPriority w:val="0"/>
    <w:rPr>
      <w:sz w:val="32"/>
    </w:rPr>
  </w:style>
  <w:style w:type="paragraph" w:styleId="10">
    <w:name w:val="Body Text Indent"/>
    <w:basedOn w:val="1"/>
    <w:link w:val="73"/>
    <w:qFormat/>
    <w:uiPriority w:val="0"/>
    <w:pPr>
      <w:ind w:firstLine="645"/>
    </w:pPr>
    <w:rPr>
      <w:sz w:val="28"/>
    </w:rPr>
  </w:style>
  <w:style w:type="paragraph" w:styleId="11">
    <w:name w:val="toc 3"/>
    <w:basedOn w:val="1"/>
    <w:next w:val="1"/>
    <w:qFormat/>
    <w:uiPriority w:val="0"/>
    <w:pPr>
      <w:widowControl/>
      <w:spacing w:after="100" w:line="276" w:lineRule="auto"/>
      <w:ind w:left="440"/>
      <w:jc w:val="left"/>
    </w:pPr>
    <w:rPr>
      <w:kern w:val="0"/>
      <w:sz w:val="22"/>
    </w:rPr>
  </w:style>
  <w:style w:type="paragraph" w:styleId="12">
    <w:name w:val="Plain Text"/>
    <w:basedOn w:val="1"/>
    <w:link w:val="83"/>
    <w:qFormat/>
    <w:uiPriority w:val="0"/>
    <w:rPr>
      <w:rFonts w:ascii="宋体" w:hAnsi="Courier New" w:eastAsia="宋体" w:cs="黑体"/>
    </w:rPr>
  </w:style>
  <w:style w:type="paragraph" w:styleId="13">
    <w:name w:val="Date"/>
    <w:basedOn w:val="1"/>
    <w:next w:val="1"/>
    <w:link w:val="77"/>
    <w:qFormat/>
    <w:uiPriority w:val="0"/>
    <w:pPr>
      <w:ind w:left="100"/>
    </w:pPr>
    <w:rPr>
      <w:sz w:val="28"/>
      <w:szCs w:val="20"/>
    </w:rPr>
  </w:style>
  <w:style w:type="paragraph" w:styleId="14">
    <w:name w:val="Body Text Indent 2"/>
    <w:basedOn w:val="1"/>
    <w:link w:val="71"/>
    <w:qFormat/>
    <w:uiPriority w:val="0"/>
    <w:pPr>
      <w:ind w:left="360"/>
    </w:pPr>
    <w:rPr>
      <w:rFonts w:ascii="宋体" w:hAnsi="宋体"/>
      <w:sz w:val="32"/>
    </w:rPr>
  </w:style>
  <w:style w:type="paragraph" w:styleId="15">
    <w:name w:val="Balloon Text"/>
    <w:basedOn w:val="1"/>
    <w:link w:val="76"/>
    <w:qFormat/>
    <w:uiPriority w:val="0"/>
    <w:rPr>
      <w:sz w:val="18"/>
      <w:szCs w:val="18"/>
    </w:rPr>
  </w:style>
  <w:style w:type="paragraph" w:styleId="16">
    <w:name w:val="footer"/>
    <w:basedOn w:val="1"/>
    <w:link w:val="70"/>
    <w:qFormat/>
    <w:uiPriority w:val="0"/>
    <w:pPr>
      <w:tabs>
        <w:tab w:val="center" w:pos="4153"/>
        <w:tab w:val="right" w:pos="8306"/>
      </w:tabs>
      <w:snapToGrid w:val="0"/>
      <w:jc w:val="left"/>
    </w:pPr>
    <w:rPr>
      <w:sz w:val="18"/>
      <w:szCs w:val="18"/>
    </w:rPr>
  </w:style>
  <w:style w:type="paragraph" w:styleId="17">
    <w:name w:val="header"/>
    <w:basedOn w:val="1"/>
    <w:link w:val="75"/>
    <w:qFormat/>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18">
    <w:name w:val="toc 1"/>
    <w:basedOn w:val="1"/>
    <w:next w:val="1"/>
    <w:qFormat/>
    <w:uiPriority w:val="39"/>
    <w:pPr>
      <w:widowControl/>
      <w:spacing w:after="100" w:line="276" w:lineRule="auto"/>
      <w:jc w:val="left"/>
    </w:pPr>
    <w:rPr>
      <w:kern w:val="0"/>
      <w:sz w:val="22"/>
    </w:rPr>
  </w:style>
  <w:style w:type="paragraph" w:styleId="19">
    <w:name w:val="Body Text Indent 3"/>
    <w:basedOn w:val="1"/>
    <w:link w:val="74"/>
    <w:qFormat/>
    <w:uiPriority w:val="0"/>
    <w:pPr>
      <w:ind w:left="420"/>
    </w:pPr>
    <w:rPr>
      <w:rFonts w:ascii="宋体" w:hAnsi="宋体"/>
      <w:sz w:val="32"/>
    </w:rPr>
  </w:style>
  <w:style w:type="paragraph" w:styleId="20">
    <w:name w:val="toc 2"/>
    <w:basedOn w:val="1"/>
    <w:next w:val="1"/>
    <w:qFormat/>
    <w:uiPriority w:val="0"/>
    <w:pPr>
      <w:widowControl/>
      <w:spacing w:after="100" w:line="276" w:lineRule="auto"/>
      <w:ind w:left="220"/>
      <w:jc w:val="left"/>
    </w:pPr>
    <w:rPr>
      <w:kern w:val="0"/>
      <w:sz w:val="22"/>
    </w:rPr>
  </w:style>
  <w:style w:type="paragraph" w:styleId="21">
    <w:name w:val="Body Text 2"/>
    <w:basedOn w:val="1"/>
    <w:link w:val="85"/>
    <w:qFormat/>
    <w:uiPriority w:val="0"/>
    <w:pPr>
      <w:spacing w:after="120" w:line="480" w:lineRule="auto"/>
    </w:pPr>
  </w:style>
  <w:style w:type="paragraph" w:styleId="22">
    <w:name w:val="HTML Preformatted"/>
    <w:basedOn w:val="1"/>
    <w:link w:val="8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sz w:val="24"/>
      <w:szCs w:val="24"/>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4">
    <w:name w:val="Title"/>
    <w:basedOn w:val="1"/>
    <w:link w:val="82"/>
    <w:qFormat/>
    <w:uiPriority w:val="0"/>
    <w:pPr>
      <w:spacing w:before="240" w:after="60"/>
      <w:jc w:val="center"/>
      <w:outlineLvl w:val="0"/>
    </w:pPr>
    <w:rPr>
      <w:rFonts w:ascii="Cambria" w:hAnsi="Cambria"/>
      <w:b/>
      <w:bCs/>
      <w:sz w:val="32"/>
      <w:szCs w:val="32"/>
    </w:rPr>
  </w:style>
  <w:style w:type="character" w:styleId="26">
    <w:name w:val="Strong"/>
    <w:basedOn w:val="25"/>
    <w:qFormat/>
    <w:uiPriority w:val="0"/>
    <w:rPr>
      <w:b/>
      <w:bCs/>
    </w:rPr>
  </w:style>
  <w:style w:type="character" w:styleId="27">
    <w:name w:val="page number"/>
    <w:basedOn w:val="25"/>
    <w:qFormat/>
    <w:uiPriority w:val="0"/>
    <w:rPr/>
  </w:style>
  <w:style w:type="character" w:styleId="28">
    <w:name w:val="FollowedHyperlink"/>
    <w:basedOn w:val="25"/>
    <w:qFormat/>
    <w:uiPriority w:val="0"/>
    <w:rPr>
      <w:color w:val="800080"/>
      <w:u w:val="single"/>
    </w:rPr>
  </w:style>
  <w:style w:type="character" w:styleId="29">
    <w:name w:val="Hyperlink"/>
    <w:basedOn w:val="25"/>
    <w:qFormat/>
    <w:uiPriority w:val="99"/>
    <w:rPr>
      <w:color w:val="0000FF"/>
      <w:u w:val="single"/>
    </w:rPr>
  </w:style>
  <w:style w:type="character" w:styleId="30">
    <w:name w:val="annotation reference"/>
    <w:basedOn w:val="25"/>
    <w:semiHidden/>
    <w:qFormat/>
    <w:uiPriority w:val="0"/>
    <w:rPr>
      <w:sz w:val="21"/>
      <w:szCs w:val="21"/>
    </w:rPr>
  </w:style>
  <w:style w:type="table" w:styleId="32">
    <w:name w:val="Table Grid"/>
    <w:basedOn w:val="31"/>
    <w:qFormat/>
    <w:uiPriority w:val="0"/>
    <w:pPr/>
    <w:rPr>
      <w:rFonts w:ascii="Calibri" w:hAnsi="Calibri" w:eastAsia="宋体" w:cs="Times New Roman"/>
      <w:kern w:val="0"/>
      <w:sz w:val="20"/>
      <w:szCs w:val="20"/>
    </w:rPr>
    <w:tblPr>
      <w:tblStyle w:val="3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33">
    <w:name w:val="No Spacing"/>
    <w:link w:val="65"/>
    <w:qFormat/>
    <w:uiPriority w:val="0"/>
    <w:rPr>
      <w:rFonts w:ascii="Calibri" w:hAnsi="Calibri" w:eastAsia="宋体" w:cs="黑体"/>
      <w:kern w:val="2"/>
      <w:sz w:val="22"/>
      <w:szCs w:val="22"/>
      <w:lang w:val="en-US" w:eastAsia="zh-CN" w:bidi="ar-SA"/>
    </w:rPr>
  </w:style>
  <w:style w:type="paragraph" w:customStyle="1" w:styleId="34">
    <w:name w:val="正文2"/>
    <w:basedOn w:val="1"/>
    <w:link w:val="69"/>
    <w:qFormat/>
    <w:uiPriority w:val="0"/>
    <w:pPr>
      <w:spacing w:before="156" w:line="360" w:lineRule="auto"/>
      <w:ind w:firstLine="510" w:firstLineChars="200"/>
    </w:pPr>
    <w:rPr>
      <w:rFonts w:cs="黑体"/>
      <w:sz w:val="24"/>
    </w:rPr>
  </w:style>
  <w:style w:type="paragraph" w:customStyle="1" w:styleId="35">
    <w:name w:val="Char2"/>
    <w:basedOn w:val="1"/>
    <w:qFormat/>
    <w:uiPriority w:val="0"/>
    <w:rPr>
      <w:rFonts w:ascii="仿宋_GB2312" w:eastAsia="仿宋_GB2312"/>
      <w:b/>
      <w:sz w:val="32"/>
      <w:szCs w:val="32"/>
    </w:rPr>
  </w:style>
  <w:style w:type="paragraph" w:customStyle="1" w:styleId="36">
    <w:name w:val="Char1"/>
    <w:basedOn w:val="1"/>
    <w:qFormat/>
    <w:uiPriority w:val="0"/>
  </w:style>
  <w:style w:type="paragraph" w:customStyle="1" w:styleId="37">
    <w:name w:val="1册标题1"/>
    <w:basedOn w:val="1"/>
    <w:next w:val="1"/>
    <w:qFormat/>
    <w:uiPriority w:val="0"/>
    <w:pPr>
      <w:spacing w:beforeLines="50" w:afterLines="50" w:line="300" w:lineRule="auto"/>
      <w:jc w:val="center"/>
      <w:outlineLvl w:val="0"/>
    </w:pPr>
    <w:rPr>
      <w:rFonts w:ascii="Arial" w:hAnsi="Arial" w:eastAsia="黑体"/>
      <w:b/>
      <w:bCs/>
      <w:sz w:val="48"/>
      <w:szCs w:val="20"/>
    </w:rPr>
  </w:style>
  <w:style w:type="paragraph" w:customStyle="1" w:styleId="38">
    <w:name w:val="Char Char Char Char"/>
    <w:basedOn w:val="1"/>
    <w:qFormat/>
    <w:uiPriority w:val="0"/>
    <w:rPr>
      <w:rFonts w:ascii="Tahoma" w:hAnsi="Tahoma"/>
      <w:sz w:val="24"/>
      <w:szCs w:val="20"/>
    </w:rPr>
  </w:style>
  <w:style w:type="paragraph" w:customStyle="1" w:styleId="39">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0">
    <w:name w:val="样式1"/>
    <w:basedOn w:val="2"/>
    <w:qFormat/>
    <w:uiPriority w:val="0"/>
    <w:pPr>
      <w:jc w:val="center"/>
    </w:pPr>
    <w:rPr>
      <w:rFonts w:eastAsia="黑体"/>
    </w:rPr>
  </w:style>
  <w:style w:type="paragraph" w:customStyle="1" w:styleId="41">
    <w:name w:val="2"/>
    <w:basedOn w:val="1"/>
    <w:next w:val="1"/>
    <w:qFormat/>
    <w:uiPriority w:val="0"/>
    <w:rPr>
      <w:rFonts w:eastAsia="仿宋_GB2312"/>
      <w:sz w:val="18"/>
      <w:szCs w:val="20"/>
    </w:rPr>
  </w:style>
  <w:style w:type="paragraph" w:customStyle="1" w:styleId="42">
    <w:name w:val="正文缩进1"/>
    <w:basedOn w:val="1"/>
    <w:next w:val="10"/>
    <w:qFormat/>
    <w:uiPriority w:val="0"/>
    <w:pPr>
      <w:autoSpaceDE w:val="0"/>
      <w:autoSpaceDN w:val="0"/>
      <w:adjustRightInd w:val="0"/>
      <w:snapToGrid w:val="0"/>
      <w:spacing w:after="120" w:line="360" w:lineRule="auto"/>
      <w:ind w:left="420" w:leftChars="200" w:firstLine="480" w:firstLineChars="200"/>
    </w:pPr>
    <w:rPr>
      <w:rFonts w:ascii="Times New Roman" w:hAnsi="Times New Roman"/>
      <w:sz w:val="24"/>
      <w:szCs w:val="21"/>
    </w:rPr>
  </w:style>
  <w:style w:type="paragraph" w:customStyle="1" w:styleId="43">
    <w:name w:val="HTML Top of Form"/>
    <w:basedOn w:val="1"/>
    <w:next w:val="1"/>
    <w:link w:val="81"/>
    <w:qFormat/>
    <w:uiPriority w:val="0"/>
    <w:pPr>
      <w:pBdr>
        <w:bottom w:val="single" w:color="auto" w:sz="6" w:space="1"/>
      </w:pBdr>
      <w:jc w:val="center"/>
    </w:pPr>
    <w:rPr>
      <w:rFonts w:ascii="Arial"/>
      <w:vanish/>
      <w:sz w:val="16"/>
    </w:rPr>
  </w:style>
  <w:style w:type="paragraph" w:customStyle="1" w:styleId="44">
    <w:name w:val="Char Char Char Char Char Char Char"/>
    <w:basedOn w:val="1"/>
    <w:qFormat/>
    <w:uiPriority w:val="0"/>
    <w:rPr>
      <w:rFonts w:ascii="仿宋_GB2312" w:eastAsia="仿宋_GB2312"/>
      <w:b/>
      <w:sz w:val="32"/>
      <w:szCs w:val="32"/>
    </w:rPr>
  </w:style>
  <w:style w:type="paragraph" w:customStyle="1" w:styleId="4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6">
    <w:name w:val="Char"/>
    <w:basedOn w:val="1"/>
    <w:qFormat/>
    <w:uiPriority w:val="0"/>
    <w:rPr>
      <w:rFonts w:ascii="Tahoma" w:hAnsi="Tahoma"/>
      <w:sz w:val="24"/>
      <w:szCs w:val="20"/>
    </w:rPr>
  </w:style>
  <w:style w:type="paragraph" w:customStyle="1" w:styleId="47">
    <w:name w:val="style17"/>
    <w:basedOn w:val="1"/>
    <w:qFormat/>
    <w:uiPriority w:val="0"/>
    <w:pPr>
      <w:widowControl/>
      <w:spacing w:before="100" w:beforeAutospacing="1" w:after="100" w:afterAutospacing="1"/>
      <w:jc w:val="left"/>
    </w:pPr>
    <w:rPr>
      <w:rFonts w:ascii="宋体" w:hAnsi="宋体" w:cs="宋体"/>
      <w:b/>
      <w:bCs/>
      <w:color w:val="000000"/>
      <w:kern w:val="0"/>
      <w:sz w:val="24"/>
    </w:rPr>
  </w:style>
  <w:style w:type="paragraph" w:customStyle="1" w:styleId="48">
    <w:name w:val="font7"/>
    <w:basedOn w:val="1"/>
    <w:qFormat/>
    <w:uiPriority w:val="0"/>
    <w:pPr>
      <w:widowControl/>
      <w:spacing w:before="100" w:beforeAutospacing="1" w:after="100" w:afterAutospacing="1"/>
      <w:jc w:val="left"/>
    </w:pPr>
    <w:rPr>
      <w:kern w:val="0"/>
      <w:sz w:val="20"/>
      <w:szCs w:val="20"/>
    </w:rPr>
  </w:style>
  <w:style w:type="paragraph" w:customStyle="1" w:styleId="49">
    <w:name w:val="Char Char Char"/>
    <w:basedOn w:val="1"/>
    <w:qFormat/>
    <w:uiPriority w:val="0"/>
  </w:style>
  <w:style w:type="paragraph" w:customStyle="1" w:styleId="50">
    <w:name w:val="style11"/>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Char21"/>
    <w:basedOn w:val="1"/>
    <w:qFormat/>
    <w:uiPriority w:val="0"/>
    <w:rPr>
      <w:rFonts w:ascii="仿宋_GB2312" w:eastAsia="仿宋_GB2312"/>
      <w:b/>
      <w:sz w:val="32"/>
      <w:szCs w:val="32"/>
    </w:rPr>
  </w:style>
  <w:style w:type="paragraph" w:customStyle="1" w:styleId="5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3">
    <w:name w:val="列出段落1"/>
    <w:basedOn w:val="1"/>
    <w:qFormat/>
    <w:uiPriority w:val="34"/>
    <w:pPr>
      <w:spacing w:line="360" w:lineRule="auto"/>
      <w:ind w:firstLine="420" w:firstLineChars="200"/>
    </w:pPr>
    <w:rPr>
      <w:sz w:val="24"/>
    </w:rPr>
  </w:style>
  <w:style w:type="paragraph" w:customStyle="1" w:styleId="54">
    <w:name w:val="*正文"/>
    <w:basedOn w:val="1"/>
    <w:qFormat/>
    <w:uiPriority w:val="0"/>
    <w:pPr>
      <w:adjustRightInd w:val="0"/>
      <w:spacing w:line="360" w:lineRule="auto"/>
      <w:ind w:firstLine="200" w:firstLineChars="200"/>
      <w:textAlignment w:val="baseline"/>
    </w:pPr>
    <w:rPr>
      <w:rFonts w:hint="eastAsia" w:ascii="宋体" w:hAnsi="宋体"/>
      <w:sz w:val="24"/>
      <w:szCs w:val="22"/>
    </w:rPr>
  </w:style>
  <w:style w:type="character" w:customStyle="1" w:styleId="55">
    <w:name w:val="标题 1 Char"/>
    <w:basedOn w:val="25"/>
    <w:link w:val="2"/>
    <w:qFormat/>
    <w:uiPriority w:val="0"/>
    <w:rPr>
      <w:rFonts w:ascii="Calibri" w:hAnsi="Calibri" w:eastAsia="宋体" w:cs="Times New Roman"/>
      <w:b/>
      <w:bCs/>
      <w:kern w:val="44"/>
      <w:sz w:val="44"/>
      <w:szCs w:val="44"/>
    </w:rPr>
  </w:style>
  <w:style w:type="character" w:customStyle="1" w:styleId="56">
    <w:name w:val="标题 2 Char"/>
    <w:basedOn w:val="25"/>
    <w:link w:val="3"/>
    <w:qFormat/>
    <w:uiPriority w:val="0"/>
    <w:rPr>
      <w:rFonts w:ascii="Cambria" w:hAnsi="Cambria" w:eastAsia="宋体" w:cs="Times New Roman"/>
      <w:b/>
      <w:bCs/>
      <w:sz w:val="32"/>
      <w:szCs w:val="32"/>
    </w:rPr>
  </w:style>
  <w:style w:type="character" w:customStyle="1" w:styleId="57">
    <w:name w:val="style2 bin1"/>
    <w:basedOn w:val="25"/>
    <w:qFormat/>
    <w:uiPriority w:val="0"/>
    <w:rPr/>
  </w:style>
  <w:style w:type="character" w:customStyle="1" w:styleId="58">
    <w:name w:val="HTML 预设格式 Char"/>
    <w:basedOn w:val="25"/>
    <w:link w:val="22"/>
    <w:qFormat/>
    <w:uiPriority w:val="99"/>
    <w:rPr>
      <w:rFonts w:ascii="Arial" w:hAnsi="Arial" w:cs="Arial"/>
      <w:sz w:val="24"/>
      <w:szCs w:val="24"/>
    </w:rPr>
  </w:style>
  <w:style w:type="character" w:customStyle="1" w:styleId="59">
    <w:name w:val="Char Char3"/>
    <w:basedOn w:val="25"/>
    <w:qFormat/>
    <w:locked/>
    <w:uiPriority w:val="0"/>
    <w:rPr>
      <w:kern w:val="2"/>
      <w:sz w:val="21"/>
      <w:szCs w:val="24"/>
      <w:lang w:bidi="ar-SA"/>
    </w:rPr>
  </w:style>
  <w:style w:type="character" w:customStyle="1" w:styleId="60">
    <w:name w:val="标题 Char"/>
    <w:basedOn w:val="25"/>
    <w:link w:val="24"/>
    <w:qFormat/>
    <w:uiPriority w:val="0"/>
    <w:rPr>
      <w:rFonts w:ascii="Cambria" w:hAnsi="Cambria" w:eastAsia="宋体" w:cs="Times New Roman"/>
      <w:b/>
      <w:bCs/>
      <w:sz w:val="32"/>
      <w:szCs w:val="32"/>
    </w:rPr>
  </w:style>
  <w:style w:type="character" w:customStyle="1" w:styleId="61">
    <w:name w:val="页眉 Char"/>
    <w:basedOn w:val="25"/>
    <w:link w:val="17"/>
    <w:qFormat/>
    <w:uiPriority w:val="0"/>
    <w:rPr>
      <w:sz w:val="18"/>
      <w:szCs w:val="18"/>
    </w:rPr>
  </w:style>
  <w:style w:type="character" w:customStyle="1" w:styleId="62">
    <w:name w:val="纯文本 Char"/>
    <w:basedOn w:val="25"/>
    <w:link w:val="12"/>
    <w:qFormat/>
    <w:uiPriority w:val="0"/>
    <w:rPr>
      <w:rFonts w:ascii="宋体" w:hAnsi="Courier New"/>
    </w:rPr>
  </w:style>
  <w:style w:type="character" w:customStyle="1" w:styleId="63">
    <w:name w:val="正文文本 3 Char"/>
    <w:basedOn w:val="25"/>
    <w:link w:val="8"/>
    <w:qFormat/>
    <w:uiPriority w:val="0"/>
    <w:rPr>
      <w:sz w:val="16"/>
      <w:szCs w:val="16"/>
    </w:rPr>
  </w:style>
  <w:style w:type="character" w:customStyle="1" w:styleId="64">
    <w:name w:val="style171"/>
    <w:basedOn w:val="25"/>
    <w:qFormat/>
    <w:uiPriority w:val="0"/>
    <w:rPr>
      <w:b/>
      <w:bCs/>
      <w:color w:val="000000"/>
    </w:rPr>
  </w:style>
  <w:style w:type="character" w:customStyle="1" w:styleId="65">
    <w:name w:val="无间隔 Char"/>
    <w:basedOn w:val="25"/>
    <w:link w:val="33"/>
    <w:qFormat/>
    <w:uiPriority w:val="0"/>
    <w:rPr>
      <w:sz w:val="22"/>
    </w:rPr>
  </w:style>
  <w:style w:type="character" w:customStyle="1" w:styleId="66">
    <w:name w:val="style191"/>
    <w:basedOn w:val="25"/>
    <w:qFormat/>
    <w:uiPriority w:val="0"/>
    <w:rPr>
      <w:b/>
      <w:bCs/>
      <w:sz w:val="21"/>
      <w:szCs w:val="21"/>
    </w:rPr>
  </w:style>
  <w:style w:type="character" w:customStyle="1" w:styleId="67">
    <w:name w:val="纯文本 Char1"/>
    <w:basedOn w:val="25"/>
    <w:qFormat/>
    <w:uiPriority w:val="0"/>
    <w:rPr>
      <w:rFonts w:ascii="宋体" w:hAnsi="Courier New" w:eastAsia="宋体" w:cs="Times New Roman"/>
      <w:szCs w:val="20"/>
    </w:rPr>
  </w:style>
  <w:style w:type="character" w:customStyle="1" w:styleId="68">
    <w:name w:val="批注文字 Char"/>
    <w:basedOn w:val="25"/>
    <w:qFormat/>
    <w:uiPriority w:val="0"/>
    <w:rPr>
      <w:kern w:val="2"/>
      <w:sz w:val="21"/>
      <w:szCs w:val="24"/>
    </w:rPr>
  </w:style>
  <w:style w:type="character" w:customStyle="1" w:styleId="69">
    <w:name w:val="正文2 Char"/>
    <w:link w:val="34"/>
    <w:qFormat/>
    <w:uiPriority w:val="0"/>
    <w:rPr>
      <w:rFonts w:ascii="Calibri" w:hAnsi="Calibri" w:eastAsia="宋体"/>
      <w:sz w:val="24"/>
    </w:rPr>
  </w:style>
  <w:style w:type="character" w:customStyle="1" w:styleId="70">
    <w:name w:val="页脚 Char"/>
    <w:basedOn w:val="25"/>
    <w:link w:val="16"/>
    <w:qFormat/>
    <w:uiPriority w:val="0"/>
    <w:rPr>
      <w:rFonts w:ascii="Calibri" w:hAnsi="Calibri" w:eastAsia="宋体" w:cs="Times New Roman"/>
      <w:sz w:val="18"/>
      <w:szCs w:val="18"/>
    </w:rPr>
  </w:style>
  <w:style w:type="character" w:customStyle="1" w:styleId="71">
    <w:name w:val="正文文本缩进 2 Char"/>
    <w:basedOn w:val="25"/>
    <w:link w:val="14"/>
    <w:qFormat/>
    <w:uiPriority w:val="0"/>
    <w:rPr>
      <w:rFonts w:ascii="宋体" w:hAnsi="宋体" w:eastAsia="宋体" w:cs="Times New Roman"/>
      <w:sz w:val="32"/>
    </w:rPr>
  </w:style>
  <w:style w:type="character" w:customStyle="1" w:styleId="72">
    <w:name w:val="正文文本 3 Char1"/>
    <w:basedOn w:val="25"/>
    <w:link w:val="8"/>
    <w:semiHidden/>
    <w:qFormat/>
    <w:uiPriority w:val="99"/>
    <w:rPr>
      <w:rFonts w:ascii="Calibri" w:hAnsi="Calibri" w:eastAsia="宋体" w:cs="Times New Roman"/>
      <w:sz w:val="16"/>
      <w:szCs w:val="16"/>
    </w:rPr>
  </w:style>
  <w:style w:type="character" w:customStyle="1" w:styleId="73">
    <w:name w:val="正文文本缩进 Char"/>
    <w:basedOn w:val="25"/>
    <w:link w:val="10"/>
    <w:qFormat/>
    <w:uiPriority w:val="0"/>
    <w:rPr>
      <w:rFonts w:ascii="Calibri" w:hAnsi="Calibri" w:eastAsia="宋体" w:cs="Times New Roman"/>
      <w:sz w:val="28"/>
    </w:rPr>
  </w:style>
  <w:style w:type="character" w:customStyle="1" w:styleId="74">
    <w:name w:val="正文文本缩进 3 Char"/>
    <w:basedOn w:val="25"/>
    <w:link w:val="19"/>
    <w:qFormat/>
    <w:uiPriority w:val="0"/>
    <w:rPr>
      <w:rFonts w:ascii="宋体" w:hAnsi="宋体" w:eastAsia="宋体" w:cs="Times New Roman"/>
      <w:sz w:val="32"/>
    </w:rPr>
  </w:style>
  <w:style w:type="character" w:customStyle="1" w:styleId="75">
    <w:name w:val="页眉 Char1"/>
    <w:basedOn w:val="25"/>
    <w:link w:val="17"/>
    <w:semiHidden/>
    <w:qFormat/>
    <w:uiPriority w:val="99"/>
    <w:rPr>
      <w:rFonts w:ascii="Calibri" w:hAnsi="Calibri" w:eastAsia="宋体" w:cs="Times New Roman"/>
      <w:sz w:val="18"/>
      <w:szCs w:val="18"/>
    </w:rPr>
  </w:style>
  <w:style w:type="character" w:customStyle="1" w:styleId="76">
    <w:name w:val="批注框文本 Char"/>
    <w:basedOn w:val="25"/>
    <w:link w:val="15"/>
    <w:qFormat/>
    <w:uiPriority w:val="0"/>
    <w:rPr>
      <w:rFonts w:ascii="Calibri" w:hAnsi="Calibri" w:eastAsia="宋体" w:cs="Times New Roman"/>
      <w:sz w:val="18"/>
      <w:szCs w:val="18"/>
    </w:rPr>
  </w:style>
  <w:style w:type="character" w:customStyle="1" w:styleId="77">
    <w:name w:val="日期 Char"/>
    <w:basedOn w:val="25"/>
    <w:link w:val="13"/>
    <w:qFormat/>
    <w:uiPriority w:val="0"/>
    <w:rPr>
      <w:rFonts w:ascii="Calibri" w:hAnsi="Calibri" w:eastAsia="宋体" w:cs="Times New Roman"/>
      <w:sz w:val="28"/>
      <w:szCs w:val="20"/>
    </w:rPr>
  </w:style>
  <w:style w:type="character" w:customStyle="1" w:styleId="78">
    <w:name w:val="批注文字 Char1"/>
    <w:basedOn w:val="25"/>
    <w:link w:val="5"/>
    <w:semiHidden/>
    <w:qFormat/>
    <w:uiPriority w:val="99"/>
    <w:rPr>
      <w:rFonts w:ascii="Calibri" w:hAnsi="Calibri" w:eastAsia="宋体" w:cs="Times New Roman"/>
    </w:rPr>
  </w:style>
  <w:style w:type="character" w:customStyle="1" w:styleId="79">
    <w:name w:val="批注主题 Char"/>
    <w:basedOn w:val="78"/>
    <w:link w:val="4"/>
    <w:semiHidden/>
    <w:qFormat/>
    <w:uiPriority w:val="0"/>
    <w:rPr>
      <w:b/>
      <w:bCs/>
    </w:rPr>
  </w:style>
  <w:style w:type="character" w:customStyle="1" w:styleId="80">
    <w:name w:val="正文文本 Char"/>
    <w:basedOn w:val="25"/>
    <w:link w:val="9"/>
    <w:qFormat/>
    <w:uiPriority w:val="0"/>
    <w:rPr>
      <w:rFonts w:ascii="Calibri" w:hAnsi="Calibri" w:eastAsia="宋体" w:cs="Times New Roman"/>
      <w:sz w:val="32"/>
    </w:rPr>
  </w:style>
  <w:style w:type="character" w:customStyle="1" w:styleId="81">
    <w:name w:val="z-窗体顶端 Char"/>
    <w:basedOn w:val="25"/>
    <w:link w:val="43"/>
    <w:qFormat/>
    <w:uiPriority w:val="0"/>
    <w:rPr>
      <w:rFonts w:ascii="Arial" w:hAnsi="Calibri" w:eastAsia="宋体" w:cs="Times New Roman"/>
      <w:vanish/>
      <w:sz w:val="16"/>
    </w:rPr>
  </w:style>
  <w:style w:type="character" w:customStyle="1" w:styleId="82">
    <w:name w:val="标题 Char1"/>
    <w:basedOn w:val="25"/>
    <w:link w:val="24"/>
    <w:qFormat/>
    <w:uiPriority w:val="10"/>
    <w:rPr>
      <w:rFonts w:ascii="Cambria" w:hAnsi="Cambria" w:eastAsia="宋体" w:cs="黑体"/>
      <w:b/>
      <w:bCs/>
      <w:sz w:val="32"/>
      <w:szCs w:val="32"/>
    </w:rPr>
  </w:style>
  <w:style w:type="character" w:customStyle="1" w:styleId="83">
    <w:name w:val="纯文本 Char2"/>
    <w:basedOn w:val="25"/>
    <w:link w:val="12"/>
    <w:semiHidden/>
    <w:qFormat/>
    <w:uiPriority w:val="99"/>
    <w:rPr>
      <w:rFonts w:ascii="宋体" w:hAnsi="Courier New" w:eastAsia="宋体" w:cs="Courier New"/>
      <w:szCs w:val="21"/>
    </w:rPr>
  </w:style>
  <w:style w:type="character" w:customStyle="1" w:styleId="84">
    <w:name w:val="HTML 预设格式 Char1"/>
    <w:basedOn w:val="25"/>
    <w:link w:val="22"/>
    <w:semiHidden/>
    <w:qFormat/>
    <w:uiPriority w:val="99"/>
    <w:rPr>
      <w:rFonts w:ascii="Courier New" w:hAnsi="Courier New" w:eastAsia="宋体" w:cs="Courier New"/>
      <w:sz w:val="20"/>
      <w:szCs w:val="20"/>
    </w:rPr>
  </w:style>
  <w:style w:type="character" w:customStyle="1" w:styleId="85">
    <w:name w:val="正文文本 2 Char"/>
    <w:basedOn w:val="25"/>
    <w:link w:val="21"/>
    <w:qFormat/>
    <w:uiPriority w:val="0"/>
    <w:rPr>
      <w:rFonts w:ascii="Calibri" w:hAnsi="Calibri" w:eastAsia="宋体" w:cs="Times New Roman"/>
    </w:rPr>
  </w:style>
  <w:style w:type="character" w:customStyle="1" w:styleId="86">
    <w:name w:val="文档结构图 Char"/>
    <w:basedOn w:val="25"/>
    <w:link w:val="7"/>
    <w:semiHidden/>
    <w:qFormat/>
    <w:uiPriority w:val="99"/>
    <w:rPr>
      <w:rFonts w:ascii="宋体"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3028</Words>
  <Characters>17262</Characters>
  <Lines>143</Lines>
  <Paragraphs>40</Paragraphs>
  <ScaleCrop>false</ScaleCrop>
  <LinksUpToDate>false</LinksUpToDate>
  <CharactersWithSpaces>0</CharactersWithSpaces>
  <Application>WPS Office 专业版_9.1.0.5212_F1E327BC-269C-435d-A152-05C5408002CA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2018-03-27T08:23:00Z</dcterms:created>
  <dc:creator>Administrator</dc:creator>
  <cp:lastModifiedBy>Administrator</cp:lastModifiedBy>
  <cp:lastPrinted>2019-09-16T06:34:00Z</cp:lastPrinted>
  <dcterms:modified xsi:type="dcterms:W3CDTF">2019-09-16T07:27:07Z</dcterms:modified>
  <dc:title>XYZ项目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2052-9.1.0.5212</vt:lpwstr>
  </property>
</Properties>
</file>